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4CB8" w14:textId="77777777" w:rsidR="00644002" w:rsidRPr="0034058C" w:rsidRDefault="00644002" w:rsidP="00550C75">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6C0C4441" w14:textId="77777777" w:rsidR="00EA1CCC" w:rsidRPr="00057018" w:rsidRDefault="00EA1CCC"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eastAsia="bg-BG"/>
        </w:rPr>
      </w:pPr>
    </w:p>
    <w:p w14:paraId="2DA361A2"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6FE54C9B"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4AB8BE75"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2C6F7AED" w14:textId="77777777" w:rsidR="00032A39" w:rsidRPr="00057018"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4BCBA991" w14:textId="77777777" w:rsidR="00032A39" w:rsidRDefault="00032A39" w:rsidP="00C21E44">
      <w:pPr>
        <w:spacing w:after="0" w:line="240" w:lineRule="auto"/>
        <w:ind w:left="709" w:hanging="709"/>
        <w:jc w:val="center"/>
        <w:rPr>
          <w:rFonts w:ascii="Times New Roman" w:hAnsi="Times New Roman"/>
          <w:b/>
          <w:szCs w:val="24"/>
          <w:lang w:eastAsia="bg-BG"/>
        </w:rPr>
      </w:pPr>
      <w:r>
        <w:rPr>
          <w:rFonts w:ascii="Times New Roman" w:hAnsi="Times New Roman"/>
          <w:szCs w:val="24"/>
          <w:lang w:eastAsia="bg-BG"/>
        </w:rPr>
        <w:t>за съответствие с изискванията на ЗОП на проектите на документи по чл. 232, ал. 3, т. 1</w:t>
      </w:r>
      <w:r w:rsidR="000C3E95">
        <w:rPr>
          <w:rFonts w:ascii="Times New Roman" w:hAnsi="Times New Roman"/>
          <w:szCs w:val="24"/>
          <w:lang w:eastAsia="bg-BG"/>
        </w:rPr>
        <w:t xml:space="preserve">, ал. 5 </w:t>
      </w:r>
      <w:r>
        <w:rPr>
          <w:rFonts w:ascii="Times New Roman" w:hAnsi="Times New Roman"/>
          <w:szCs w:val="24"/>
          <w:lang w:eastAsia="bg-BG"/>
        </w:rPr>
        <w:t xml:space="preserve">и ал. </w:t>
      </w:r>
      <w:r w:rsidR="000C3E95">
        <w:rPr>
          <w:rFonts w:ascii="Times New Roman" w:hAnsi="Times New Roman"/>
          <w:szCs w:val="24"/>
          <w:lang w:eastAsia="bg-BG"/>
        </w:rPr>
        <w:t xml:space="preserve">9 </w:t>
      </w:r>
      <w:r>
        <w:rPr>
          <w:rFonts w:ascii="Times New Roman" w:hAnsi="Times New Roman"/>
          <w:szCs w:val="24"/>
          <w:lang w:eastAsia="bg-BG"/>
        </w:rPr>
        <w:t>ЗОП (І етап)</w:t>
      </w:r>
    </w:p>
    <w:p w14:paraId="5F3506DA" w14:textId="77777777" w:rsidR="00F36A07" w:rsidRPr="00057018" w:rsidRDefault="00F36A07" w:rsidP="00F36A07">
      <w:pPr>
        <w:spacing w:after="0" w:line="370" w:lineRule="exact"/>
        <w:ind w:firstLine="0"/>
        <w:jc w:val="left"/>
        <w:rPr>
          <w:rFonts w:ascii="Times New Roman" w:hAnsi="Times New Roman" w:cs="Arial"/>
        </w:rPr>
      </w:pPr>
    </w:p>
    <w:p w14:paraId="1054B79C"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1D148A0E"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3800FF46" w14:textId="77777777" w:rsidR="00F36A07" w:rsidRPr="00F36A07" w:rsidRDefault="00F36A07" w:rsidP="00F36A07">
      <w:pPr>
        <w:tabs>
          <w:tab w:val="right" w:pos="9360"/>
        </w:tabs>
        <w:spacing w:after="0" w:line="240" w:lineRule="auto"/>
        <w:ind w:firstLine="0"/>
        <w:rPr>
          <w:rFonts w:ascii="Times New Roman" w:hAnsi="Times New Roman"/>
          <w:szCs w:val="24"/>
          <w:lang w:val="en-US" w:eastAsia="bg-BG"/>
        </w:rPr>
      </w:pPr>
    </w:p>
    <w:tbl>
      <w:tblPr>
        <w:tblW w:w="9213"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40"/>
        <w:gridCol w:w="5873"/>
      </w:tblGrid>
      <w:tr w:rsidR="00F36A07" w:rsidRPr="00F36A07" w14:paraId="68BC41A1" w14:textId="77777777" w:rsidTr="00C21E44">
        <w:trPr>
          <w:trHeight w:val="20"/>
        </w:trPr>
        <w:tc>
          <w:tcPr>
            <w:tcW w:w="3340" w:type="dxa"/>
            <w:tcBorders>
              <w:top w:val="single" w:sz="12" w:space="0" w:color="auto"/>
              <w:left w:val="single" w:sz="12" w:space="0" w:color="auto"/>
              <w:bottom w:val="single" w:sz="2" w:space="0" w:color="auto"/>
              <w:right w:val="single" w:sz="2" w:space="0" w:color="auto"/>
            </w:tcBorders>
            <w:vAlign w:val="center"/>
            <w:hideMark/>
          </w:tcPr>
          <w:p w14:paraId="194DDF2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5B76698E" w14:textId="77777777" w:rsidR="00F36A07" w:rsidRPr="004B074C" w:rsidRDefault="004B074C"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w:t>
            </w:r>
            <w:r>
              <w:rPr>
                <w:rFonts w:ascii="Times New Roman" w:hAnsi="Times New Roman"/>
                <w:szCs w:val="24"/>
                <w:lang w:val="en-US" w:eastAsia="bg-BG"/>
              </w:rPr>
              <w:t xml:space="preserve">-288/2019 </w:t>
            </w:r>
            <w:r>
              <w:rPr>
                <w:rFonts w:ascii="Times New Roman" w:hAnsi="Times New Roman"/>
                <w:szCs w:val="24"/>
                <w:lang w:eastAsia="bg-BG"/>
              </w:rPr>
              <w:t>г.</w:t>
            </w:r>
          </w:p>
        </w:tc>
      </w:tr>
      <w:tr w:rsidR="00F36A07" w:rsidRPr="00F36A07" w14:paraId="4DA2B6C0"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192E9D8D"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2C5ED874" w14:textId="77777777" w:rsidR="00F36A07" w:rsidRPr="00F36A07" w:rsidRDefault="004B074C"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20191114-05242-0015</w:t>
            </w:r>
          </w:p>
        </w:tc>
      </w:tr>
      <w:tr w:rsidR="00F36A07" w:rsidRPr="00F36A07" w14:paraId="0CDF6F28"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7649D11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08E679E8" w14:textId="77777777" w:rsidR="00F36A07" w:rsidRPr="004B074C" w:rsidRDefault="004B074C" w:rsidP="00F36A0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 xml:space="preserve">Ей </w:t>
            </w:r>
            <w:r w:rsidR="003314C3">
              <w:rPr>
                <w:rFonts w:ascii="Times New Roman" w:hAnsi="Times New Roman"/>
                <w:b/>
                <w:szCs w:val="24"/>
                <w:lang w:eastAsia="bg-BG"/>
              </w:rPr>
              <w:t>и</w:t>
            </w:r>
            <w:r>
              <w:rPr>
                <w:rFonts w:ascii="Times New Roman" w:hAnsi="Times New Roman"/>
                <w:b/>
                <w:szCs w:val="24"/>
                <w:lang w:eastAsia="bg-BG"/>
              </w:rPr>
              <w:t xml:space="preserve"> Ес-3С Марица Изток </w:t>
            </w:r>
            <w:r>
              <w:rPr>
                <w:rFonts w:ascii="Times New Roman" w:hAnsi="Times New Roman"/>
                <w:b/>
                <w:szCs w:val="24"/>
                <w:lang w:val="en-US" w:eastAsia="bg-BG"/>
              </w:rPr>
              <w:t>I</w:t>
            </w:r>
            <w:r w:rsidRPr="007F6172">
              <w:rPr>
                <w:rFonts w:ascii="Times New Roman" w:hAnsi="Times New Roman"/>
                <w:b/>
                <w:szCs w:val="24"/>
                <w:lang w:eastAsia="bg-BG"/>
              </w:rPr>
              <w:t xml:space="preserve"> </w:t>
            </w:r>
            <w:r>
              <w:rPr>
                <w:rFonts w:ascii="Times New Roman" w:hAnsi="Times New Roman"/>
                <w:b/>
                <w:szCs w:val="24"/>
                <w:lang w:eastAsia="bg-BG"/>
              </w:rPr>
              <w:t>ЕООД</w:t>
            </w:r>
          </w:p>
        </w:tc>
      </w:tr>
      <w:tr w:rsidR="00F36A07" w:rsidRPr="00F36A07" w14:paraId="04DBF2C3"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2B81C0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1C1767B3"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bCs/>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публичен (чл. 5, ал. 2, т. 1-17 и ал. 3 ЗОП)</w:t>
            </w:r>
            <w:r w:rsidRPr="00F36A07">
              <w:rPr>
                <w:rFonts w:ascii="Times New Roman" w:hAnsi="Times New Roman"/>
                <w:bCs/>
                <w:szCs w:val="24"/>
                <w:lang w:eastAsia="bg-BG"/>
              </w:rPr>
              <w:t xml:space="preserve"> </w:t>
            </w:r>
          </w:p>
          <w:p w14:paraId="48F1F1F4" w14:textId="77777777" w:rsidR="00F36A07" w:rsidRPr="00F36A07" w:rsidRDefault="004B074C" w:rsidP="00F36A07">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 xml:space="preserve">секторен (чл. 5, ал. 4,т. 1-3 ЗОП) </w:t>
            </w:r>
          </w:p>
        </w:tc>
      </w:tr>
      <w:tr w:rsidR="00F36A07" w:rsidRPr="00F36A07" w14:paraId="366A6C3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04FCE38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74B09C55" w14:textId="77777777" w:rsidR="00F36A07" w:rsidRPr="00C21E44" w:rsidRDefault="00AE6420" w:rsidP="00C21E44">
            <w:pPr>
              <w:tabs>
                <w:tab w:val="left" w:pos="583"/>
                <w:tab w:val="right" w:pos="9360"/>
              </w:tabs>
              <w:spacing w:before="60" w:after="60" w:line="240" w:lineRule="auto"/>
              <w:ind w:left="43" w:firstLine="0"/>
              <w:jc w:val="left"/>
              <w:rPr>
                <w:rFonts w:ascii="Times New Roman" w:hAnsi="Times New Roman"/>
                <w:szCs w:val="24"/>
                <w:lang w:val="en-US"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F36A07" w:rsidRPr="00F36A07">
              <w:rPr>
                <w:rFonts w:ascii="Times New Roman" w:hAnsi="Times New Roman"/>
                <w:szCs w:val="24"/>
                <w:lang w:eastAsia="bg-BG"/>
              </w:rPr>
              <w:tab/>
              <w:t>Публично състезание</w:t>
            </w:r>
          </w:p>
        </w:tc>
      </w:tr>
      <w:tr w:rsidR="00F36A07" w:rsidRPr="00F36A07" w14:paraId="1C4B318C"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2BC6D6F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0630CEA5" w14:textId="77777777" w:rsidR="00F36A07" w:rsidRPr="00F36A07" w:rsidRDefault="00F36A07"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p>
          <w:p w14:paraId="1974436B" w14:textId="77777777" w:rsidR="00F36A07" w:rsidRPr="00F36A07" w:rsidRDefault="004F16BF"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29C7BA2F"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0BB87AE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F4F24B1"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Строителство</w:t>
            </w:r>
          </w:p>
          <w:p w14:paraId="5A3F660D"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5"/>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Доставки</w:t>
            </w:r>
          </w:p>
          <w:p w14:paraId="4D3AF310" w14:textId="77777777" w:rsidR="00F36A07" w:rsidRPr="00F36A07" w:rsidRDefault="004F16BF"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bookmarkStart w:id="1" w:name="Check36"/>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F36A07" w:rsidRPr="00F36A07">
              <w:rPr>
                <w:rFonts w:ascii="Times New Roman" w:hAnsi="Times New Roman"/>
                <w:szCs w:val="24"/>
                <w:lang w:eastAsia="bg-BG"/>
              </w:rPr>
              <w:tab/>
              <w:t>Услуги</w:t>
            </w:r>
          </w:p>
          <w:p w14:paraId="698B8DB1"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 по Приложение № 2</w:t>
            </w:r>
          </w:p>
        </w:tc>
      </w:tr>
      <w:tr w:rsidR="00F36A07" w:rsidRPr="00F36A07" w14:paraId="2DD982E0"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6E3E72B7"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Предмет на поръчката</w:t>
            </w:r>
            <w:r w:rsidRPr="00F36A07">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6CC3C7EB" w14:textId="77777777" w:rsidR="00F36A07" w:rsidRPr="00F36A07" w:rsidRDefault="004F16BF" w:rsidP="004F16BF">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„Услуги по ремонт и пренавиване на електрически двигатели на територията на ТЕЦ Ей И Ес-3С Марица Изток 1“</w:t>
            </w:r>
          </w:p>
        </w:tc>
      </w:tr>
      <w:tr w:rsidR="00F36A07" w:rsidRPr="00F36A07" w14:paraId="1420BB77"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0C7E92A3"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CC20B9"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r w:rsidRPr="00F36A07">
              <w:rPr>
                <w:rFonts w:ascii="Times New Roman" w:hAnsi="Times New Roman"/>
                <w:szCs w:val="24"/>
                <w:lang w:val="en-US" w:eastAsia="bg-BG"/>
              </w:rPr>
              <w:t xml:space="preserve">              </w:t>
            </w:r>
            <w:r w:rsidRPr="00F36A07">
              <w:rPr>
                <w:rFonts w:ascii="Times New Roman" w:hAnsi="Times New Roman"/>
                <w:szCs w:val="24"/>
                <w:lang w:eastAsia="bg-BG"/>
              </w:rPr>
              <w:t xml:space="preserve">             Брой: </w:t>
            </w:r>
          </w:p>
          <w:p w14:paraId="28104B2D" w14:textId="77777777" w:rsidR="00F36A07" w:rsidRPr="00F36A07" w:rsidRDefault="004F16BF"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3B330484"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6C48DF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7D86E603" w14:textId="77777777" w:rsidR="004F16BF" w:rsidRPr="00F36A07" w:rsidRDefault="004F16BF" w:rsidP="004F16BF">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7. Електроинженерство</w:t>
            </w:r>
          </w:p>
        </w:tc>
      </w:tr>
      <w:tr w:rsidR="00F36A07" w:rsidRPr="00F36A07" w14:paraId="565E2690"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2F41068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6CA378CC" w14:textId="77777777" w:rsidR="00F36A07" w:rsidRPr="00F36A07" w:rsidRDefault="00505AC5"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48 месеца</w:t>
            </w:r>
          </w:p>
        </w:tc>
      </w:tr>
      <w:tr w:rsidR="00F36A07" w:rsidRPr="00F36A07" w14:paraId="00614EE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4FA574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42F30706" w14:textId="77777777" w:rsidR="00F36A07" w:rsidRPr="00F36A07" w:rsidRDefault="00505AC5"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243 400.00</w:t>
            </w:r>
          </w:p>
        </w:tc>
      </w:tr>
      <w:tr w:rsidR="00F36A07" w:rsidRPr="00F36A07" w14:paraId="568116C6"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301D49C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lastRenderedPageBreak/>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A3A71D" w14:textId="77777777" w:rsidR="00F36A07" w:rsidRPr="00F36A07" w:rsidRDefault="00505AC5"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Изцяло от националния бюджет</w:t>
            </w:r>
          </w:p>
          <w:p w14:paraId="174EF3A1"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или частично със средства от ЕС</w:t>
            </w:r>
          </w:p>
          <w:p w14:paraId="4AE53723"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Друго</w:t>
            </w:r>
            <w:r w:rsidRPr="00F36A07">
              <w:rPr>
                <w:rFonts w:ascii="Times New Roman" w:hAnsi="Times New Roman"/>
                <w:szCs w:val="24"/>
                <w:lang w:val="en-US" w:eastAsia="bg-BG"/>
              </w:rPr>
              <w:t xml:space="preserve">: </w:t>
            </w:r>
          </w:p>
        </w:tc>
      </w:tr>
      <w:tr w:rsidR="00F36A07" w:rsidRPr="00F36A07" w14:paraId="3EEB7450" w14:textId="77777777" w:rsidTr="00C21E44">
        <w:trPr>
          <w:trHeight w:val="20"/>
        </w:trPr>
        <w:tc>
          <w:tcPr>
            <w:tcW w:w="3340" w:type="dxa"/>
            <w:tcBorders>
              <w:top w:val="single" w:sz="2" w:space="0" w:color="auto"/>
              <w:left w:val="single" w:sz="12" w:space="0" w:color="auto"/>
              <w:bottom w:val="single" w:sz="12" w:space="0" w:color="auto"/>
              <w:right w:val="single" w:sz="2" w:space="0" w:color="auto"/>
            </w:tcBorders>
            <w:vAlign w:val="center"/>
            <w:hideMark/>
          </w:tcPr>
          <w:p w14:paraId="31539AB3"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6F6286A9" w14:textId="77777777" w:rsidR="00F36A07" w:rsidRPr="00F36A07" w:rsidRDefault="00505AC5"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Най-ниска цена</w:t>
            </w:r>
          </w:p>
          <w:p w14:paraId="31D50618"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Ниво на разходите</w:t>
            </w:r>
          </w:p>
          <w:p w14:paraId="54579491"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Оптимално съотношение качество/цена</w:t>
            </w:r>
          </w:p>
        </w:tc>
      </w:tr>
      <w:tr w:rsidR="00F36A07" w:rsidRPr="00F36A07" w14:paraId="5A515167" w14:textId="77777777" w:rsidTr="00C21E44">
        <w:trPr>
          <w:trHeight w:val="20"/>
        </w:trPr>
        <w:tc>
          <w:tcPr>
            <w:tcW w:w="9213" w:type="dxa"/>
            <w:gridSpan w:val="2"/>
            <w:tcBorders>
              <w:top w:val="single" w:sz="2" w:space="0" w:color="auto"/>
              <w:left w:val="single" w:sz="12" w:space="0" w:color="auto"/>
              <w:bottom w:val="single" w:sz="12" w:space="0" w:color="auto"/>
              <w:right w:val="single" w:sz="12" w:space="0" w:color="auto"/>
            </w:tcBorders>
            <w:vAlign w:val="center"/>
          </w:tcPr>
          <w:p w14:paraId="69DA01A5" w14:textId="77777777" w:rsidR="00F36A07" w:rsidRPr="00F36A07" w:rsidRDefault="00F36A07" w:rsidP="00F36A07">
            <w:pPr>
              <w:spacing w:after="0" w:line="240" w:lineRule="auto"/>
              <w:ind w:firstLine="0"/>
              <w:jc w:val="left"/>
              <w:rPr>
                <w:rFonts w:ascii="Times New Roman" w:hAnsi="Times New Roman"/>
                <w:i/>
                <w:szCs w:val="24"/>
                <w:lang w:eastAsia="bg-BG"/>
              </w:rPr>
            </w:pPr>
            <w:r w:rsidRPr="00F36A07">
              <w:rPr>
                <w:rFonts w:ascii="Times New Roman" w:hAnsi="Times New Roman"/>
                <w:i/>
                <w:szCs w:val="24"/>
                <w:lang w:eastAsia="bg-BG"/>
              </w:rPr>
              <w:t>Коментари и други бележки:</w:t>
            </w:r>
          </w:p>
          <w:p w14:paraId="6B7DF5F3" w14:textId="77777777" w:rsidR="00F36A07" w:rsidRPr="00F36A07" w:rsidRDefault="00F36A07" w:rsidP="00F36A07">
            <w:pPr>
              <w:spacing w:before="60" w:after="60" w:line="240" w:lineRule="auto"/>
              <w:ind w:firstLine="567"/>
              <w:jc w:val="left"/>
              <w:rPr>
                <w:rFonts w:ascii="Times New Roman" w:hAnsi="Times New Roman"/>
                <w:sz w:val="26"/>
                <w:szCs w:val="26"/>
                <w:lang w:eastAsia="bg-BG"/>
              </w:rPr>
            </w:pPr>
          </w:p>
        </w:tc>
      </w:tr>
    </w:tbl>
    <w:p w14:paraId="7CACCC6F"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0C2BAD5F" w14:textId="77777777" w:rsidR="00032A39" w:rsidRDefault="00032A39" w:rsidP="00032A39">
      <w:pPr>
        <w:spacing w:after="0" w:line="240" w:lineRule="auto"/>
        <w:ind w:firstLine="0"/>
        <w:jc w:val="left"/>
        <w:rPr>
          <w:rFonts w:ascii="Times New Roman" w:hAnsi="Times New Roman"/>
          <w:szCs w:val="24"/>
          <w:lang w:eastAsia="bg-BG"/>
        </w:rPr>
      </w:pPr>
    </w:p>
    <w:p w14:paraId="02A6D07C"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5498D6A6"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066F8197" w14:textId="77777777" w:rsidR="00032A39" w:rsidRDefault="00032A39" w:rsidP="00032A39">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C757A" w:rsidRPr="00C21E44" w14:paraId="2EB36389" w14:textId="77777777" w:rsidTr="008A0935">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7ECB3BD1" w14:textId="77777777" w:rsidR="00BC757A" w:rsidRPr="00C21E44" w:rsidRDefault="00BC757A" w:rsidP="00BC757A">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Проверката обхваща следните документи:</w:t>
            </w:r>
          </w:p>
          <w:p w14:paraId="55C2C972"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1.</w:t>
            </w:r>
            <w:r w:rsidRPr="0049686F">
              <w:rPr>
                <w:rFonts w:ascii="Times New Roman" w:hAnsi="Times New Roman"/>
                <w:szCs w:val="24"/>
                <w:lang w:eastAsia="bg-BG"/>
              </w:rPr>
              <w:tab/>
              <w:t>Проекта на решение за откриване на процедурата;</w:t>
            </w:r>
          </w:p>
          <w:p w14:paraId="2CB6F275"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2.</w:t>
            </w:r>
            <w:r w:rsidRPr="0049686F">
              <w:rPr>
                <w:rFonts w:ascii="Times New Roman" w:hAnsi="Times New Roman"/>
                <w:szCs w:val="24"/>
                <w:lang w:eastAsia="bg-BG"/>
              </w:rPr>
              <w:tab/>
              <w:t>Проекта на обявление, с което се оповестява откриването на процедурата;</w:t>
            </w:r>
          </w:p>
          <w:p w14:paraId="01803665" w14:textId="77777777" w:rsidR="00BC757A" w:rsidRPr="00C21E44" w:rsidRDefault="00BC757A" w:rsidP="00505AC5">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3.</w:t>
            </w:r>
            <w:r w:rsidRPr="0049686F">
              <w:rPr>
                <w:rFonts w:ascii="Times New Roman" w:hAnsi="Times New Roman"/>
                <w:szCs w:val="24"/>
                <w:lang w:eastAsia="bg-BG"/>
              </w:rPr>
              <w:tab/>
              <w:t>Проекта на техническа спецификация;</w:t>
            </w:r>
          </w:p>
        </w:tc>
      </w:tr>
      <w:tr w:rsidR="00C21E44" w:rsidRPr="00C21E44" w14:paraId="5B6CC793" w14:textId="77777777" w:rsidTr="008A0935">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32FE4401"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F83B969" w14:textId="77777777" w:rsidR="00C21E44" w:rsidRPr="00C21E44" w:rsidRDefault="00505AC5" w:rsidP="00C21E44">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Не </w:t>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             </w:t>
            </w:r>
          </w:p>
        </w:tc>
      </w:tr>
      <w:tr w:rsidR="00C21E44" w:rsidRPr="00C21E44" w14:paraId="2E629C6D" w14:textId="77777777" w:rsidTr="00931E02">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7312D10"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изпратени по предвидения ред</w:t>
            </w:r>
            <w:r w:rsidRPr="00C21E44">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349AB6C6" w14:textId="77777777" w:rsidR="00C21E44" w:rsidRPr="00C21E44" w:rsidRDefault="00505AC5" w:rsidP="00C21E44">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eastAsia="bg-BG"/>
              </w:rPr>
              <w:t xml:space="preserve"> 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eastAsia="bg-BG"/>
              </w:rPr>
              <w:t xml:space="preserve">  Не</w:t>
            </w:r>
          </w:p>
        </w:tc>
      </w:tr>
      <w:tr w:rsidR="00C21E44" w:rsidRPr="00C21E44" w14:paraId="4234A294" w14:textId="77777777" w:rsidTr="00931E02">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817DAEA" w14:textId="77777777" w:rsidR="00C21E44" w:rsidRPr="00C21E44" w:rsidRDefault="00196778" w:rsidP="00505AC5">
            <w:pPr>
              <w:spacing w:after="0" w:line="240" w:lineRule="auto"/>
              <w:ind w:firstLine="0"/>
              <w:rPr>
                <w:rFonts w:ascii="Times New Roman" w:hAnsi="Times New Roman"/>
                <w:szCs w:val="24"/>
                <w:lang w:eastAsia="bg-BG"/>
              </w:rPr>
            </w:pPr>
            <w:r w:rsidRPr="00196778">
              <w:rPr>
                <w:rFonts w:ascii="Times New Roman" w:hAnsi="Times New Roman"/>
                <w:szCs w:val="24"/>
                <w:lang w:eastAsia="bg-BG"/>
              </w:rPr>
              <w:t>Проверката на проектите на техническата спецификация е извършена от външен/ни експерт/и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66360A43" w14:textId="77777777" w:rsidR="00C21E44" w:rsidRPr="00C21E44" w:rsidRDefault="00C21E44" w:rsidP="00505AC5">
            <w:pPr>
              <w:tabs>
                <w:tab w:val="left" w:pos="583"/>
                <w:tab w:val="right" w:pos="9360"/>
              </w:tabs>
              <w:spacing w:before="60" w:after="60" w:line="240" w:lineRule="auto"/>
              <w:ind w:firstLine="0"/>
              <w:jc w:val="left"/>
              <w:rPr>
                <w:rFonts w:ascii="Times New Roman" w:hAnsi="Times New Roman"/>
                <w:szCs w:val="24"/>
                <w:lang w:eastAsia="bg-BG"/>
              </w:rPr>
            </w:pPr>
            <w:r w:rsidRPr="00C21E44">
              <w:rPr>
                <w:rFonts w:ascii="Times New Roman" w:hAnsi="Times New Roman"/>
                <w:szCs w:val="24"/>
                <w:lang w:eastAsia="bg-BG"/>
              </w:rPr>
              <w:fldChar w:fldCharType="begin">
                <w:ffData>
                  <w:name w:val=""/>
                  <w:enabled/>
                  <w:calcOnExit w:val="0"/>
                  <w:checkBox>
                    <w:sizeAuto/>
                    <w:default w:val="0"/>
                  </w:checkBox>
                </w:ffData>
              </w:fldChar>
            </w:r>
            <w:r w:rsidRPr="00C21E44">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Pr="00C21E44">
              <w:rPr>
                <w:rFonts w:ascii="Times New Roman" w:hAnsi="Times New Roman"/>
                <w:szCs w:val="24"/>
                <w:lang w:eastAsia="bg-BG"/>
              </w:rPr>
              <w:fldChar w:fldCharType="end"/>
            </w:r>
            <w:r w:rsidRPr="00C21E44">
              <w:rPr>
                <w:rFonts w:ascii="Times New Roman" w:hAnsi="Times New Roman"/>
                <w:szCs w:val="24"/>
                <w:lang w:eastAsia="bg-BG"/>
              </w:rPr>
              <w:t xml:space="preserve"> Да      </w:t>
            </w:r>
            <w:r w:rsidR="00505AC5">
              <w:rPr>
                <w:rFonts w:ascii="Times New Roman" w:hAnsi="Times New Roman"/>
                <w:szCs w:val="24"/>
                <w:lang w:eastAsia="bg-BG"/>
              </w:rPr>
              <w:fldChar w:fldCharType="begin">
                <w:ffData>
                  <w:name w:val=""/>
                  <w:enabled/>
                  <w:calcOnExit w:val="0"/>
                  <w:checkBox>
                    <w:sizeAuto/>
                    <w:default w:val="1"/>
                  </w:checkBox>
                </w:ffData>
              </w:fldChar>
            </w:r>
            <w:r w:rsidR="00505AC5">
              <w:rPr>
                <w:rFonts w:ascii="Times New Roman" w:hAnsi="Times New Roman"/>
                <w:szCs w:val="24"/>
                <w:lang w:eastAsia="bg-BG"/>
              </w:rPr>
              <w:instrText xml:space="preserve"> FORMCHECKBOX </w:instrText>
            </w:r>
            <w:r w:rsidR="001022CA">
              <w:rPr>
                <w:rFonts w:ascii="Times New Roman" w:hAnsi="Times New Roman"/>
                <w:szCs w:val="24"/>
                <w:lang w:eastAsia="bg-BG"/>
              </w:rPr>
            </w:r>
            <w:r w:rsidR="001022CA">
              <w:rPr>
                <w:rFonts w:ascii="Times New Roman" w:hAnsi="Times New Roman"/>
                <w:szCs w:val="24"/>
                <w:lang w:eastAsia="bg-BG"/>
              </w:rPr>
              <w:fldChar w:fldCharType="separate"/>
            </w:r>
            <w:r w:rsidR="00505AC5">
              <w:rPr>
                <w:rFonts w:ascii="Times New Roman" w:hAnsi="Times New Roman"/>
                <w:szCs w:val="24"/>
                <w:lang w:eastAsia="bg-BG"/>
              </w:rPr>
              <w:fldChar w:fldCharType="end"/>
            </w:r>
            <w:r w:rsidRPr="00C21E44">
              <w:rPr>
                <w:rFonts w:ascii="Times New Roman" w:hAnsi="Times New Roman"/>
                <w:szCs w:val="24"/>
                <w:lang w:eastAsia="bg-BG"/>
              </w:rPr>
              <w:t xml:space="preserve">  Не</w:t>
            </w:r>
          </w:p>
        </w:tc>
      </w:tr>
      <w:tr w:rsidR="00C21E44" w:rsidRPr="00C21E44" w14:paraId="4BEC8759" w14:textId="77777777" w:rsidTr="008A0935">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784DD35D" w14:textId="77777777" w:rsidR="00C21E44" w:rsidRPr="00C21E44" w:rsidRDefault="00C21E44" w:rsidP="00C21E44">
            <w:pPr>
              <w:spacing w:after="0" w:line="240" w:lineRule="auto"/>
              <w:ind w:firstLine="0"/>
              <w:jc w:val="left"/>
              <w:rPr>
                <w:rFonts w:ascii="Times New Roman" w:hAnsi="Times New Roman"/>
                <w:i/>
                <w:szCs w:val="24"/>
                <w:lang w:eastAsia="bg-BG"/>
              </w:rPr>
            </w:pPr>
            <w:r w:rsidRPr="00C21E44">
              <w:rPr>
                <w:rFonts w:ascii="Times New Roman" w:hAnsi="Times New Roman"/>
                <w:i/>
                <w:szCs w:val="24"/>
                <w:lang w:eastAsia="bg-BG"/>
              </w:rPr>
              <w:t>Коментари и други бележки:</w:t>
            </w:r>
          </w:p>
          <w:p w14:paraId="5CB2A18D" w14:textId="7505B1FC" w:rsidR="00C21E44" w:rsidRPr="00C21E44" w:rsidRDefault="009B06FF" w:rsidP="007F6172">
            <w:pPr>
              <w:spacing w:after="60" w:line="240" w:lineRule="auto"/>
              <w:ind w:firstLine="740"/>
              <w:rPr>
                <w:rFonts w:ascii="Times New Roman" w:hAnsi="Times New Roman"/>
                <w:sz w:val="18"/>
                <w:szCs w:val="18"/>
                <w:lang w:eastAsia="bg-BG"/>
              </w:rPr>
            </w:pPr>
            <w:r w:rsidRPr="009B06FF">
              <w:rPr>
                <w:rFonts w:ascii="Times New Roman" w:hAnsi="Times New Roman"/>
                <w:szCs w:val="24"/>
                <w:lang w:eastAsia="bg-BG"/>
              </w:rPr>
              <w:t>В</w:t>
            </w:r>
            <w:r w:rsidR="0034058C">
              <w:rPr>
                <w:rFonts w:ascii="Times New Roman" w:hAnsi="Times New Roman"/>
                <w:szCs w:val="24"/>
                <w:lang w:eastAsia="bg-BG"/>
              </w:rPr>
              <w:t xml:space="preserve"> случая са налице обстоятелствата по чл.</w:t>
            </w:r>
            <w:r w:rsidR="007F6172">
              <w:rPr>
                <w:rFonts w:ascii="Times New Roman" w:hAnsi="Times New Roman"/>
                <w:szCs w:val="24"/>
                <w:lang w:eastAsia="bg-BG"/>
              </w:rPr>
              <w:t xml:space="preserve"> </w:t>
            </w:r>
            <w:r w:rsidR="0034058C">
              <w:rPr>
                <w:rFonts w:ascii="Times New Roman" w:hAnsi="Times New Roman"/>
                <w:szCs w:val="24"/>
                <w:lang w:eastAsia="bg-BG"/>
              </w:rPr>
              <w:t>13, ал</w:t>
            </w:r>
            <w:r w:rsidR="007F6172">
              <w:rPr>
                <w:rFonts w:ascii="Times New Roman" w:hAnsi="Times New Roman"/>
                <w:szCs w:val="24"/>
                <w:lang w:eastAsia="bg-BG"/>
              </w:rPr>
              <w:t>.</w:t>
            </w:r>
            <w:r w:rsidR="0034058C">
              <w:rPr>
                <w:rFonts w:ascii="Times New Roman" w:hAnsi="Times New Roman"/>
                <w:szCs w:val="24"/>
                <w:lang w:eastAsia="bg-BG"/>
              </w:rPr>
              <w:t xml:space="preserve"> 1, т. 1 от</w:t>
            </w:r>
            <w:r w:rsidRPr="009B06FF">
              <w:rPr>
                <w:rFonts w:ascii="Times New Roman" w:hAnsi="Times New Roman"/>
                <w:szCs w:val="24"/>
                <w:lang w:eastAsia="bg-BG"/>
              </w:rPr>
              <w:t xml:space="preserve"> </w:t>
            </w:r>
            <w:r w:rsidR="0034058C" w:rsidRPr="009B06FF">
              <w:rPr>
                <w:rFonts w:ascii="Times New Roman" w:hAnsi="Times New Roman"/>
                <w:szCs w:val="24"/>
                <w:lang w:eastAsia="bg-BG"/>
              </w:rPr>
              <w:t>Наредбата за външни</w:t>
            </w:r>
            <w:r w:rsidR="007F6172">
              <w:rPr>
                <w:rFonts w:ascii="Times New Roman" w:hAnsi="Times New Roman"/>
                <w:szCs w:val="24"/>
                <w:lang w:eastAsia="bg-BG"/>
              </w:rPr>
              <w:t>те</w:t>
            </w:r>
            <w:r w:rsidR="0034058C" w:rsidRPr="009B06FF">
              <w:rPr>
                <w:rFonts w:ascii="Times New Roman" w:hAnsi="Times New Roman"/>
                <w:szCs w:val="24"/>
                <w:lang w:eastAsia="bg-BG"/>
              </w:rPr>
              <w:t xml:space="preserve"> експерти при </w:t>
            </w:r>
            <w:r w:rsidR="007F6172">
              <w:rPr>
                <w:rFonts w:ascii="Times New Roman" w:hAnsi="Times New Roman"/>
                <w:szCs w:val="24"/>
                <w:lang w:eastAsia="bg-BG"/>
              </w:rPr>
              <w:t xml:space="preserve">предварителен контрол на </w:t>
            </w:r>
            <w:r w:rsidR="0034058C" w:rsidRPr="009B06FF">
              <w:rPr>
                <w:rFonts w:ascii="Times New Roman" w:hAnsi="Times New Roman"/>
                <w:szCs w:val="24"/>
                <w:lang w:eastAsia="bg-BG"/>
              </w:rPr>
              <w:t>обществени</w:t>
            </w:r>
            <w:r w:rsidR="007F6172">
              <w:rPr>
                <w:rFonts w:ascii="Times New Roman" w:hAnsi="Times New Roman"/>
                <w:szCs w:val="24"/>
                <w:lang w:eastAsia="bg-BG"/>
              </w:rPr>
              <w:t>те</w:t>
            </w:r>
            <w:r w:rsidR="0034058C" w:rsidRPr="009B06FF">
              <w:rPr>
                <w:rFonts w:ascii="Times New Roman" w:hAnsi="Times New Roman"/>
                <w:szCs w:val="24"/>
                <w:lang w:eastAsia="bg-BG"/>
              </w:rPr>
              <w:t xml:space="preserve"> поръчки</w:t>
            </w:r>
            <w:r w:rsidR="0034058C">
              <w:rPr>
                <w:rFonts w:ascii="Times New Roman" w:hAnsi="Times New Roman"/>
                <w:szCs w:val="24"/>
                <w:lang w:eastAsia="bg-BG"/>
              </w:rPr>
              <w:t>, за възлагане на проверката на проекта на техническа спецификация на външен експерт, но в</w:t>
            </w:r>
            <w:r w:rsidR="0034058C" w:rsidRPr="009B06FF">
              <w:rPr>
                <w:rFonts w:ascii="Times New Roman" w:hAnsi="Times New Roman"/>
                <w:szCs w:val="24"/>
                <w:lang w:eastAsia="bg-BG"/>
              </w:rPr>
              <w:t xml:space="preserve"> </w:t>
            </w:r>
            <w:r w:rsidRPr="009B06FF">
              <w:rPr>
                <w:rFonts w:ascii="Times New Roman" w:hAnsi="Times New Roman"/>
                <w:szCs w:val="24"/>
                <w:lang w:eastAsia="bg-BG"/>
              </w:rPr>
              <w:t>списъка по чл. 2</w:t>
            </w:r>
            <w:r>
              <w:rPr>
                <w:rFonts w:ascii="Times New Roman" w:hAnsi="Times New Roman"/>
                <w:szCs w:val="24"/>
                <w:lang w:eastAsia="bg-BG"/>
              </w:rPr>
              <w:t>3</w:t>
            </w:r>
            <w:r w:rsidRPr="009B06FF">
              <w:rPr>
                <w:rFonts w:ascii="Times New Roman" w:hAnsi="Times New Roman"/>
                <w:szCs w:val="24"/>
                <w:lang w:eastAsia="bg-BG"/>
              </w:rPr>
              <w:t>2</w:t>
            </w:r>
            <w:r>
              <w:rPr>
                <w:rFonts w:ascii="Times New Roman" w:hAnsi="Times New Roman"/>
                <w:szCs w:val="24"/>
                <w:lang w:eastAsia="bg-BG"/>
              </w:rPr>
              <w:t>а</w:t>
            </w:r>
            <w:r w:rsidRPr="009B06FF">
              <w:rPr>
                <w:rFonts w:ascii="Times New Roman" w:hAnsi="Times New Roman"/>
                <w:szCs w:val="24"/>
                <w:lang w:eastAsia="bg-BG"/>
              </w:rPr>
              <w:t xml:space="preserve"> ЗОП няма включени външни експерти в областта, съответстваща на предмета на поръчката – </w:t>
            </w:r>
            <w:r>
              <w:rPr>
                <w:rFonts w:ascii="Times New Roman" w:hAnsi="Times New Roman"/>
                <w:szCs w:val="24"/>
                <w:lang w:eastAsia="bg-BG"/>
              </w:rPr>
              <w:t>7</w:t>
            </w:r>
            <w:r w:rsidRPr="009B06FF">
              <w:rPr>
                <w:rFonts w:ascii="Times New Roman" w:hAnsi="Times New Roman"/>
                <w:szCs w:val="24"/>
                <w:lang w:eastAsia="bg-BG"/>
              </w:rPr>
              <w:t>. „</w:t>
            </w:r>
            <w:r>
              <w:rPr>
                <w:rFonts w:ascii="Times New Roman" w:hAnsi="Times New Roman"/>
                <w:szCs w:val="24"/>
                <w:lang w:eastAsia="bg-BG"/>
              </w:rPr>
              <w:t>Електроинженерство</w:t>
            </w:r>
            <w:r w:rsidRPr="009B06FF">
              <w:rPr>
                <w:rFonts w:ascii="Times New Roman" w:hAnsi="Times New Roman"/>
                <w:szCs w:val="24"/>
                <w:lang w:eastAsia="bg-BG"/>
              </w:rPr>
              <w:t xml:space="preserve">“. Поради изложеното и на основание </w:t>
            </w:r>
            <w:r w:rsidR="00A1743B" w:rsidRPr="00A1743B">
              <w:rPr>
                <w:rFonts w:ascii="Times New Roman" w:hAnsi="Times New Roman"/>
                <w:szCs w:val="24"/>
                <w:lang w:eastAsia="bg-BG"/>
              </w:rPr>
              <w:t>чл. 18, т. 4 от посочената наредба</w:t>
            </w:r>
            <w:r w:rsidRPr="009B06FF">
              <w:rPr>
                <w:rFonts w:ascii="Times New Roman" w:hAnsi="Times New Roman"/>
                <w:szCs w:val="24"/>
                <w:lang w:eastAsia="bg-BG"/>
              </w:rPr>
              <w:t>, проверката на проект</w:t>
            </w:r>
            <w:r>
              <w:rPr>
                <w:rFonts w:ascii="Times New Roman" w:hAnsi="Times New Roman"/>
                <w:szCs w:val="24"/>
                <w:lang w:eastAsia="bg-BG"/>
              </w:rPr>
              <w:t>а</w:t>
            </w:r>
            <w:r w:rsidRPr="009B06FF">
              <w:rPr>
                <w:rFonts w:ascii="Times New Roman" w:hAnsi="Times New Roman"/>
                <w:szCs w:val="24"/>
                <w:lang w:eastAsia="bg-BG"/>
              </w:rPr>
              <w:t xml:space="preserve"> на техническа спецификация е извършена от експерти на АОП</w:t>
            </w:r>
            <w:r w:rsidR="00A1743B">
              <w:t xml:space="preserve"> </w:t>
            </w:r>
            <w:r w:rsidR="00A1743B" w:rsidRPr="00A1743B">
              <w:rPr>
                <w:rFonts w:ascii="Times New Roman" w:hAnsi="Times New Roman"/>
                <w:szCs w:val="24"/>
                <w:lang w:eastAsia="bg-BG"/>
              </w:rPr>
              <w:t xml:space="preserve">и обхваща съответствието на </w:t>
            </w:r>
            <w:r w:rsidR="00A1743B">
              <w:rPr>
                <w:rFonts w:ascii="Times New Roman" w:hAnsi="Times New Roman"/>
                <w:szCs w:val="24"/>
                <w:lang w:eastAsia="bg-BG"/>
              </w:rPr>
              <w:t>документа с изискванията на ЗОП</w:t>
            </w:r>
            <w:r w:rsidRPr="009B06FF">
              <w:rPr>
                <w:rFonts w:ascii="Times New Roman" w:hAnsi="Times New Roman"/>
                <w:szCs w:val="24"/>
                <w:lang w:eastAsia="bg-BG"/>
              </w:rPr>
              <w:t>.</w:t>
            </w:r>
          </w:p>
        </w:tc>
      </w:tr>
    </w:tbl>
    <w:p w14:paraId="7F78FA07" w14:textId="77777777" w:rsidR="00EA1CCC" w:rsidRPr="00931E02" w:rsidRDefault="00EA1CCC" w:rsidP="00931E02">
      <w:pPr>
        <w:tabs>
          <w:tab w:val="right" w:pos="9360"/>
        </w:tabs>
        <w:spacing w:after="0" w:line="240" w:lineRule="auto"/>
        <w:ind w:firstLine="0"/>
        <w:rPr>
          <w:rFonts w:ascii="Times New Roman" w:hAnsi="Times New Roman"/>
          <w:szCs w:val="24"/>
          <w:lang w:val="en-US" w:eastAsia="bg-BG"/>
        </w:rPr>
      </w:pPr>
    </w:p>
    <w:p w14:paraId="1FACF763" w14:textId="55DA80C6"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t>РАЗДЕЛ ІІІ</w:t>
      </w:r>
    </w:p>
    <w:p w14:paraId="499B4DBB"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EA1CCC">
        <w:rPr>
          <w:rFonts w:ascii="Times New Roman" w:hAnsi="Times New Roman"/>
          <w:b/>
          <w:bCs/>
          <w:sz w:val="26"/>
          <w:szCs w:val="26"/>
          <w:lang w:val="en-US"/>
        </w:rPr>
        <w:t xml:space="preserve"> </w:t>
      </w:r>
      <w:r w:rsidRPr="00EA1CCC">
        <w:rPr>
          <w:rFonts w:ascii="Times New Roman" w:hAnsi="Times New Roman"/>
          <w:b/>
          <w:bCs/>
          <w:sz w:val="26"/>
          <w:szCs w:val="26"/>
        </w:rPr>
        <w:t>от контрола</w:t>
      </w:r>
    </w:p>
    <w:p w14:paraId="6601E4AF" w14:textId="77777777" w:rsidR="00EA1CCC" w:rsidRPr="00EA1CCC" w:rsidRDefault="00EA1CCC" w:rsidP="00EA1CCC">
      <w:pPr>
        <w:tabs>
          <w:tab w:val="left" w:pos="1440"/>
        </w:tabs>
        <w:spacing w:after="0" w:line="240" w:lineRule="auto"/>
        <w:ind w:firstLine="0"/>
        <w:rPr>
          <w:rFonts w:ascii="Times New Roman" w:hAnsi="Times New Roman"/>
          <w:szCs w:val="24"/>
          <w:lang w:eastAsia="bg-BG"/>
        </w:rPr>
      </w:pPr>
    </w:p>
    <w:p w14:paraId="71AF0109" w14:textId="5E616BF9" w:rsidR="00EA1CCC" w:rsidRPr="00EA1CCC" w:rsidRDefault="009F11C6" w:rsidP="00EA1CCC">
      <w:pPr>
        <w:tabs>
          <w:tab w:val="left" w:pos="1440"/>
        </w:tabs>
        <w:spacing w:after="0" w:line="240" w:lineRule="auto"/>
        <w:ind w:firstLine="0"/>
        <w:rPr>
          <w:rFonts w:ascii="Times New Roman" w:hAnsi="Times New Roman"/>
          <w:b/>
          <w:szCs w:val="24"/>
          <w:lang w:eastAsia="bg-BG"/>
        </w:rPr>
      </w:pPr>
      <w:r>
        <w:rPr>
          <w:rFonts w:ascii="Times New Roman" w:hAnsi="Times New Roman"/>
          <w:b/>
        </w:rPr>
        <w:t>Проект на р</w:t>
      </w:r>
      <w:r w:rsidR="00EA1CCC" w:rsidRPr="007B1D93">
        <w:rPr>
          <w:rFonts w:ascii="Times New Roman" w:hAnsi="Times New Roman"/>
          <w:b/>
          <w:szCs w:val="24"/>
          <w:lang w:eastAsia="bg-BG"/>
        </w:rPr>
        <w:t>ешение за откриване на процедурата</w:t>
      </w:r>
      <w:r w:rsidR="00656E91">
        <w:rPr>
          <w:rFonts w:ascii="Times New Roman" w:hAnsi="Times New Roman"/>
          <w:b/>
          <w:szCs w:val="24"/>
          <w:lang w:eastAsia="bg-BG"/>
        </w:rPr>
        <w:t xml:space="preserve"> </w:t>
      </w:r>
    </w:p>
    <w:p w14:paraId="61C7B2F3" w14:textId="77777777" w:rsidR="00EA1CCC" w:rsidRPr="00EA1CCC"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931E02" w:rsidRPr="00EA1CCC" w14:paraId="7AE36C23" w14:textId="77777777" w:rsidTr="00E36C95">
        <w:trPr>
          <w:trHeight w:val="550"/>
        </w:trPr>
        <w:tc>
          <w:tcPr>
            <w:tcW w:w="9180" w:type="dxa"/>
            <w:tcBorders>
              <w:top w:val="single" w:sz="12" w:space="0" w:color="auto"/>
              <w:left w:val="single" w:sz="12" w:space="0" w:color="auto"/>
              <w:bottom w:val="single" w:sz="12" w:space="0" w:color="auto"/>
              <w:right w:val="single" w:sz="12" w:space="0" w:color="auto"/>
            </w:tcBorders>
            <w:shd w:val="clear" w:color="auto" w:fill="D9D9D9"/>
          </w:tcPr>
          <w:p w14:paraId="3C5A9A6F" w14:textId="12F4D516" w:rsidR="00931E02" w:rsidRPr="00EA1CCC" w:rsidRDefault="00931E02" w:rsidP="00931E02">
            <w:pPr>
              <w:tabs>
                <w:tab w:val="right" w:pos="9360"/>
              </w:tabs>
              <w:spacing w:after="0" w:line="240" w:lineRule="auto"/>
              <w:ind w:firstLine="0"/>
              <w:jc w:val="left"/>
              <w:rPr>
                <w:rFonts w:ascii="Times New Roman" w:hAnsi="Times New Roman"/>
                <w:b/>
                <w:sz w:val="18"/>
                <w:szCs w:val="18"/>
                <w:lang w:eastAsia="bg-BG"/>
              </w:rPr>
            </w:pPr>
            <w:r w:rsidRPr="00EA1CCC">
              <w:rPr>
                <w:rFonts w:ascii="Times New Roman" w:hAnsi="Times New Roman"/>
                <w:b/>
                <w:szCs w:val="24"/>
                <w:lang w:eastAsia="bg-BG"/>
              </w:rPr>
              <w:t>Констатации</w:t>
            </w:r>
          </w:p>
        </w:tc>
      </w:tr>
      <w:tr w:rsidR="00EA1CCC" w:rsidRPr="00EA1CCC" w14:paraId="17336A49" w14:textId="77777777" w:rsidTr="004B6D24">
        <w:trPr>
          <w:trHeight w:val="654"/>
        </w:trPr>
        <w:tc>
          <w:tcPr>
            <w:tcW w:w="9180" w:type="dxa"/>
            <w:tcBorders>
              <w:top w:val="single" w:sz="2" w:space="0" w:color="auto"/>
              <w:left w:val="single" w:sz="12" w:space="0" w:color="auto"/>
              <w:bottom w:val="single" w:sz="12" w:space="0" w:color="auto"/>
              <w:right w:val="single" w:sz="12" w:space="0" w:color="auto"/>
            </w:tcBorders>
            <w:vAlign w:val="center"/>
          </w:tcPr>
          <w:p w14:paraId="1116D7F7"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016146C" w14:textId="7B95AB1B" w:rsidR="006D3C4F" w:rsidRPr="00DB5557" w:rsidRDefault="00A45B93" w:rsidP="00DB5557">
            <w:pPr>
              <w:spacing w:after="0" w:line="240" w:lineRule="auto"/>
              <w:ind w:left="20" w:firstLine="540"/>
              <w:rPr>
                <w:rFonts w:ascii="Times New Roman" w:hAnsi="Times New Roman"/>
                <w:bCs/>
                <w:sz w:val="26"/>
                <w:szCs w:val="26"/>
                <w:lang w:eastAsia="bg-BG"/>
              </w:rPr>
            </w:pPr>
            <w:r w:rsidRPr="007F6172">
              <w:rPr>
                <w:rFonts w:ascii="Times New Roman" w:hAnsi="Times New Roman"/>
                <w:bCs/>
                <w:sz w:val="26"/>
                <w:szCs w:val="26"/>
                <w:lang w:eastAsia="bg-BG"/>
              </w:rPr>
              <w:t>1.</w:t>
            </w:r>
            <w:r w:rsidR="00DB5557">
              <w:t xml:space="preserve"> </w:t>
            </w:r>
            <w:r w:rsidR="006D3C4F" w:rsidRPr="00DB5557">
              <w:rPr>
                <w:rFonts w:ascii="Times New Roman" w:hAnsi="Times New Roman"/>
                <w:bCs/>
                <w:sz w:val="26"/>
                <w:szCs w:val="26"/>
                <w:lang w:eastAsia="bg-BG"/>
              </w:rPr>
              <w:t xml:space="preserve">В изпратеното решение </w:t>
            </w:r>
            <w:r w:rsidR="00DB5557" w:rsidRPr="00DB5557">
              <w:rPr>
                <w:rFonts w:ascii="Times New Roman" w:hAnsi="Times New Roman"/>
                <w:bCs/>
                <w:sz w:val="26"/>
                <w:szCs w:val="26"/>
                <w:lang w:eastAsia="bg-BG"/>
              </w:rPr>
              <w:t xml:space="preserve">за откриване на процедура </w:t>
            </w:r>
            <w:r w:rsidR="006D3C4F" w:rsidRPr="00DB5557">
              <w:rPr>
                <w:rFonts w:ascii="Times New Roman" w:hAnsi="Times New Roman"/>
                <w:bCs/>
                <w:sz w:val="26"/>
                <w:szCs w:val="26"/>
                <w:lang w:eastAsia="bg-BG"/>
              </w:rPr>
              <w:t>е отбелязано „Решение за публикуване“. Възложителят следва да има предвид, че съгласно чл. 232, ал. 3, т. 1 ЗОП, преди оповестяване откриването на процедурата, за контрол се изпращат проектите на документите, респективно правилната отметка е „Проект на решение“.</w:t>
            </w:r>
          </w:p>
          <w:p w14:paraId="5E5D0EF1" w14:textId="2AA5128A" w:rsidR="006D3C4F" w:rsidRPr="00DB5557" w:rsidRDefault="006D3C4F" w:rsidP="006D3C4F">
            <w:pPr>
              <w:spacing w:after="0" w:line="240" w:lineRule="auto"/>
              <w:ind w:left="20" w:firstLine="540"/>
              <w:rPr>
                <w:rFonts w:ascii="Times New Roman" w:hAnsi="Times New Roman"/>
                <w:bCs/>
                <w:sz w:val="26"/>
                <w:szCs w:val="26"/>
                <w:lang w:eastAsia="bg-BG"/>
              </w:rPr>
            </w:pPr>
            <w:r w:rsidRPr="00DB5557">
              <w:rPr>
                <w:rFonts w:ascii="Times New Roman" w:hAnsi="Times New Roman"/>
                <w:bCs/>
                <w:sz w:val="26"/>
                <w:szCs w:val="26"/>
                <w:lang w:eastAsia="bg-BG"/>
              </w:rPr>
              <w:t>Бележката е относима и към проекта на обявление.</w:t>
            </w:r>
          </w:p>
          <w:p w14:paraId="0F623CA2" w14:textId="04111910" w:rsidR="006A74D6" w:rsidRDefault="006A74D6" w:rsidP="002F2405">
            <w:pPr>
              <w:spacing w:after="0" w:line="240" w:lineRule="auto"/>
              <w:ind w:firstLine="555"/>
              <w:rPr>
                <w:rFonts w:ascii="Times New Roman" w:hAnsi="Times New Roman"/>
                <w:bCs/>
                <w:sz w:val="26"/>
                <w:szCs w:val="26"/>
                <w:lang w:eastAsia="bg-BG"/>
              </w:rPr>
            </w:pPr>
            <w:r>
              <w:rPr>
                <w:rFonts w:ascii="Times New Roman" w:hAnsi="Times New Roman"/>
                <w:bCs/>
                <w:sz w:val="26"/>
                <w:szCs w:val="26"/>
                <w:lang w:eastAsia="bg-BG"/>
              </w:rPr>
              <w:lastRenderedPageBreak/>
              <w:t>2.</w:t>
            </w:r>
            <w:r>
              <w:t xml:space="preserve"> </w:t>
            </w:r>
            <w:r w:rsidRPr="006A74D6">
              <w:rPr>
                <w:rFonts w:ascii="Times New Roman" w:hAnsi="Times New Roman"/>
                <w:bCs/>
                <w:sz w:val="26"/>
                <w:szCs w:val="26"/>
                <w:lang w:eastAsia="bg-BG"/>
              </w:rPr>
              <w:t>В решение</w:t>
            </w:r>
            <w:r>
              <w:rPr>
                <w:rFonts w:ascii="Times New Roman" w:hAnsi="Times New Roman"/>
                <w:bCs/>
                <w:sz w:val="26"/>
                <w:szCs w:val="26"/>
                <w:lang w:eastAsia="bg-BG"/>
              </w:rPr>
              <w:t>то</w:t>
            </w:r>
            <w:r w:rsidRPr="006A74D6">
              <w:rPr>
                <w:rFonts w:ascii="Times New Roman" w:hAnsi="Times New Roman"/>
                <w:bCs/>
                <w:sz w:val="26"/>
                <w:szCs w:val="26"/>
                <w:lang w:eastAsia="bg-BG"/>
              </w:rPr>
              <w:t xml:space="preserve"> не е посочен идентификационен номер на регистрационната форма от Системата за случаен избор. Препоръчваме при откриване на процедурата в полето да се допълни </w:t>
            </w:r>
            <w:r>
              <w:rPr>
                <w:rFonts w:ascii="Times New Roman" w:hAnsi="Times New Roman"/>
                <w:bCs/>
                <w:sz w:val="26"/>
                <w:szCs w:val="26"/>
                <w:lang w:eastAsia="bg-BG"/>
              </w:rPr>
              <w:t>липсващата информация</w:t>
            </w:r>
            <w:r w:rsidRPr="006A74D6">
              <w:rPr>
                <w:rFonts w:ascii="Times New Roman" w:hAnsi="Times New Roman"/>
                <w:bCs/>
                <w:sz w:val="26"/>
                <w:szCs w:val="26"/>
                <w:lang w:eastAsia="bg-BG"/>
              </w:rPr>
              <w:t>.</w:t>
            </w:r>
          </w:p>
          <w:p w14:paraId="5A6B93FE" w14:textId="4E41DCC2" w:rsidR="00B06A34" w:rsidRPr="00B06A34" w:rsidRDefault="000F24BF" w:rsidP="002F2405">
            <w:pPr>
              <w:spacing w:after="0" w:line="240" w:lineRule="auto"/>
              <w:ind w:firstLine="567"/>
              <w:rPr>
                <w:rFonts w:ascii="Times New Roman" w:hAnsi="Times New Roman"/>
                <w:sz w:val="26"/>
                <w:szCs w:val="26"/>
              </w:rPr>
            </w:pPr>
            <w:r w:rsidRPr="00B06A34">
              <w:rPr>
                <w:rFonts w:ascii="Times New Roman" w:hAnsi="Times New Roman"/>
                <w:bCs/>
                <w:sz w:val="26"/>
                <w:szCs w:val="26"/>
                <w:lang w:eastAsia="bg-BG"/>
              </w:rPr>
              <w:t>3.</w:t>
            </w:r>
            <w:r w:rsidR="00B06A34" w:rsidRPr="00B06A34">
              <w:rPr>
                <w:sz w:val="26"/>
                <w:szCs w:val="26"/>
              </w:rPr>
              <w:t xml:space="preserve"> </w:t>
            </w:r>
            <w:r w:rsidR="00B06A34" w:rsidRPr="00B06A34">
              <w:rPr>
                <w:rFonts w:ascii="Times New Roman" w:hAnsi="Times New Roman"/>
                <w:sz w:val="26"/>
                <w:szCs w:val="26"/>
              </w:rPr>
              <w:t>В поле І.1), „Адрес на профила на купувача“ е посочен интернет адрес, който не води до електронната страница на профила на купувача (вж. чл. 36а, ал. 1 ЗОП). Препоръчваме редакция.</w:t>
            </w:r>
            <w:r w:rsidR="002F2405">
              <w:t xml:space="preserve"> </w:t>
            </w:r>
          </w:p>
          <w:p w14:paraId="46BCD7B6" w14:textId="0CC44125" w:rsidR="000F24BF" w:rsidRPr="002F2405" w:rsidRDefault="00B06A34" w:rsidP="002F2405">
            <w:pPr>
              <w:spacing w:after="0" w:line="240" w:lineRule="auto"/>
              <w:ind w:firstLine="567"/>
              <w:rPr>
                <w:rFonts w:ascii="Times New Roman" w:hAnsi="Times New Roman"/>
                <w:bCs/>
                <w:sz w:val="26"/>
                <w:szCs w:val="26"/>
                <w:lang w:eastAsia="bg-BG"/>
              </w:rPr>
            </w:pPr>
            <w:r w:rsidRPr="002F2405">
              <w:rPr>
                <w:rFonts w:ascii="Times New Roman" w:hAnsi="Times New Roman"/>
                <w:sz w:val="26"/>
                <w:szCs w:val="26"/>
              </w:rPr>
              <w:t>Бележката е относима и към поле І.1) на проекта на обявление.</w:t>
            </w:r>
          </w:p>
          <w:p w14:paraId="0058B22A" w14:textId="4F84CCC5" w:rsidR="002F2405" w:rsidRPr="002F2405" w:rsidRDefault="002F2405" w:rsidP="002F2405">
            <w:pPr>
              <w:spacing w:after="0" w:line="240" w:lineRule="auto"/>
              <w:ind w:firstLine="562"/>
              <w:rPr>
                <w:rFonts w:ascii="Times New Roman" w:hAnsi="Times New Roman"/>
                <w:bCs/>
                <w:sz w:val="26"/>
                <w:szCs w:val="26"/>
              </w:rPr>
            </w:pPr>
            <w:r w:rsidRPr="002F2405">
              <w:rPr>
                <w:rFonts w:ascii="Times New Roman" w:hAnsi="Times New Roman"/>
                <w:bCs/>
                <w:sz w:val="26"/>
                <w:szCs w:val="26"/>
              </w:rPr>
              <w:t>4.</w:t>
            </w:r>
            <w:r>
              <w:rPr>
                <w:rFonts w:ascii="Times New Roman" w:hAnsi="Times New Roman"/>
                <w:bCs/>
                <w:sz w:val="26"/>
                <w:szCs w:val="26"/>
              </w:rPr>
              <w:t xml:space="preserve"> </w:t>
            </w:r>
            <w:r w:rsidR="000F24BF" w:rsidRPr="002F2405">
              <w:rPr>
                <w:rFonts w:ascii="Times New Roman" w:hAnsi="Times New Roman"/>
                <w:bCs/>
                <w:sz w:val="26"/>
                <w:szCs w:val="26"/>
              </w:rPr>
              <w:t xml:space="preserve">В поле </w:t>
            </w:r>
            <w:r w:rsidR="000F24BF" w:rsidRPr="002F2405">
              <w:rPr>
                <w:rFonts w:ascii="Times New Roman" w:hAnsi="Times New Roman"/>
                <w:bCs/>
                <w:sz w:val="26"/>
                <w:szCs w:val="26"/>
                <w:lang w:val="en-US"/>
              </w:rPr>
              <w:t>IV</w:t>
            </w:r>
            <w:r w:rsidR="000F24BF" w:rsidRPr="007F6172">
              <w:rPr>
                <w:rFonts w:ascii="Times New Roman" w:hAnsi="Times New Roman"/>
                <w:bCs/>
                <w:sz w:val="26"/>
                <w:szCs w:val="26"/>
              </w:rPr>
              <w:t xml:space="preserve">.7) </w:t>
            </w:r>
            <w:r w:rsidR="000F24BF" w:rsidRPr="002F2405">
              <w:rPr>
                <w:rFonts w:ascii="Times New Roman" w:hAnsi="Times New Roman"/>
                <w:bCs/>
                <w:sz w:val="26"/>
                <w:szCs w:val="26"/>
              </w:rPr>
              <w:t>не е посочена информация за пр</w:t>
            </w:r>
            <w:r w:rsidR="008B6C13">
              <w:rPr>
                <w:rFonts w:ascii="Times New Roman" w:hAnsi="Times New Roman"/>
                <w:bCs/>
                <w:sz w:val="26"/>
                <w:szCs w:val="26"/>
              </w:rPr>
              <w:t>огнозната стойност на поръчката</w:t>
            </w:r>
            <w:r w:rsidR="000F24BF" w:rsidRPr="002F2405">
              <w:rPr>
                <w:rFonts w:ascii="Times New Roman" w:hAnsi="Times New Roman"/>
                <w:bCs/>
                <w:sz w:val="26"/>
                <w:szCs w:val="26"/>
              </w:rPr>
              <w:t xml:space="preserve"> </w:t>
            </w:r>
            <w:r w:rsidR="000F24BF" w:rsidRPr="007F6172">
              <w:rPr>
                <w:rFonts w:ascii="Times New Roman" w:hAnsi="Times New Roman"/>
                <w:bCs/>
                <w:sz w:val="26"/>
                <w:szCs w:val="26"/>
              </w:rPr>
              <w:t>(</w:t>
            </w:r>
            <w:r w:rsidR="000F24BF" w:rsidRPr="002F2405">
              <w:rPr>
                <w:rFonts w:ascii="Times New Roman" w:hAnsi="Times New Roman"/>
                <w:bCs/>
                <w:sz w:val="26"/>
                <w:szCs w:val="26"/>
              </w:rPr>
              <w:t xml:space="preserve">вж. чл. </w:t>
            </w:r>
            <w:r w:rsidR="0073111A" w:rsidRPr="002F2405">
              <w:rPr>
                <w:rFonts w:ascii="Times New Roman" w:hAnsi="Times New Roman"/>
                <w:bCs/>
                <w:sz w:val="26"/>
                <w:szCs w:val="26"/>
              </w:rPr>
              <w:t>22, ал. 5, т. 4 ЗОП</w:t>
            </w:r>
            <w:r w:rsidR="000F24BF" w:rsidRPr="007F6172">
              <w:rPr>
                <w:rFonts w:ascii="Times New Roman" w:hAnsi="Times New Roman"/>
                <w:bCs/>
                <w:sz w:val="26"/>
                <w:szCs w:val="26"/>
              </w:rPr>
              <w:t>)</w:t>
            </w:r>
            <w:r w:rsidR="008B6C13">
              <w:rPr>
                <w:rFonts w:ascii="Times New Roman" w:hAnsi="Times New Roman"/>
                <w:bCs/>
                <w:sz w:val="26"/>
                <w:szCs w:val="26"/>
                <w:lang w:val="en-US"/>
              </w:rPr>
              <w:t>.</w:t>
            </w:r>
            <w:r w:rsidR="0073111A" w:rsidRPr="002F2405">
              <w:rPr>
                <w:rFonts w:ascii="Times New Roman" w:hAnsi="Times New Roman"/>
                <w:bCs/>
                <w:sz w:val="26"/>
                <w:szCs w:val="26"/>
              </w:rPr>
              <w:t xml:space="preserve"> Препоръчваме допълване.</w:t>
            </w:r>
          </w:p>
          <w:p w14:paraId="55AC382F" w14:textId="65B7AF07" w:rsidR="000F24BF" w:rsidRPr="002F2405" w:rsidRDefault="0073111A" w:rsidP="002F2405">
            <w:pPr>
              <w:spacing w:after="0" w:line="240" w:lineRule="auto"/>
              <w:ind w:firstLine="560"/>
              <w:rPr>
                <w:rFonts w:ascii="Times New Roman" w:hAnsi="Times New Roman"/>
                <w:bCs/>
                <w:sz w:val="26"/>
                <w:szCs w:val="26"/>
              </w:rPr>
            </w:pPr>
            <w:r w:rsidRPr="002F2405">
              <w:rPr>
                <w:rFonts w:ascii="Times New Roman" w:hAnsi="Times New Roman"/>
                <w:bCs/>
                <w:sz w:val="26"/>
                <w:szCs w:val="26"/>
              </w:rPr>
              <w:t xml:space="preserve"> Бележката е относима и за поле </w:t>
            </w:r>
            <w:r w:rsidRPr="002F2405">
              <w:rPr>
                <w:rFonts w:ascii="Times New Roman" w:hAnsi="Times New Roman"/>
                <w:bCs/>
                <w:sz w:val="26"/>
                <w:szCs w:val="26"/>
                <w:lang w:val="en-US"/>
              </w:rPr>
              <w:t>II</w:t>
            </w:r>
            <w:r w:rsidRPr="007F6172">
              <w:rPr>
                <w:rFonts w:ascii="Times New Roman" w:hAnsi="Times New Roman"/>
                <w:bCs/>
                <w:sz w:val="26"/>
                <w:szCs w:val="26"/>
              </w:rPr>
              <w:t xml:space="preserve">.1.5) </w:t>
            </w:r>
            <w:r w:rsidRPr="002F2405">
              <w:rPr>
                <w:rFonts w:ascii="Times New Roman" w:hAnsi="Times New Roman"/>
                <w:bCs/>
                <w:sz w:val="26"/>
                <w:szCs w:val="26"/>
              </w:rPr>
              <w:t>на обявлението.</w:t>
            </w:r>
          </w:p>
          <w:p w14:paraId="4AF43F76" w14:textId="0F9E0472" w:rsidR="0073111A" w:rsidRPr="0073111A" w:rsidRDefault="0073111A" w:rsidP="00676DA4">
            <w:pPr>
              <w:spacing w:after="0" w:line="240" w:lineRule="auto"/>
              <w:ind w:firstLine="567"/>
              <w:rPr>
                <w:rFonts w:ascii="Times New Roman" w:hAnsi="Times New Roman"/>
                <w:bCs/>
                <w:sz w:val="26"/>
                <w:szCs w:val="26"/>
                <w:lang w:eastAsia="bg-BG"/>
              </w:rPr>
            </w:pPr>
            <w:r w:rsidRPr="002F2405">
              <w:rPr>
                <w:rFonts w:ascii="Times New Roman" w:hAnsi="Times New Roman"/>
                <w:bCs/>
                <w:sz w:val="26"/>
                <w:szCs w:val="26"/>
                <w:lang w:eastAsia="bg-BG"/>
              </w:rPr>
              <w:t>5.</w:t>
            </w:r>
            <w:r w:rsidR="002F2405">
              <w:rPr>
                <w:rFonts w:ascii="Times New Roman" w:hAnsi="Times New Roman"/>
                <w:bCs/>
                <w:sz w:val="26"/>
                <w:szCs w:val="26"/>
                <w:lang w:eastAsia="bg-BG"/>
              </w:rPr>
              <w:t xml:space="preserve"> </w:t>
            </w:r>
            <w:r w:rsidR="006434E7" w:rsidRPr="002F2405">
              <w:rPr>
                <w:rFonts w:ascii="Times New Roman" w:hAnsi="Times New Roman"/>
                <w:bCs/>
                <w:sz w:val="26"/>
                <w:szCs w:val="26"/>
                <w:lang w:eastAsia="bg-BG"/>
              </w:rPr>
              <w:t xml:space="preserve">В раздел VІ) възложителят е отбелязал, че с решението одобрява обявлението за оповестяване откриването на процедурата. Съгласно чл. 22, ал. 2 ЗОП, с решението за откриване на процедурата следва да се одобри и документацията. Препоръчваме </w:t>
            </w:r>
            <w:r w:rsidR="00676DA4">
              <w:rPr>
                <w:rFonts w:ascii="Times New Roman" w:hAnsi="Times New Roman"/>
                <w:bCs/>
                <w:sz w:val="26"/>
                <w:szCs w:val="26"/>
                <w:lang w:eastAsia="bg-BG"/>
              </w:rPr>
              <w:t>допълване</w:t>
            </w:r>
            <w:r w:rsidR="006434E7" w:rsidRPr="002F2405">
              <w:rPr>
                <w:rFonts w:ascii="Times New Roman" w:hAnsi="Times New Roman"/>
                <w:bCs/>
                <w:sz w:val="26"/>
                <w:szCs w:val="26"/>
                <w:lang w:eastAsia="bg-BG"/>
              </w:rPr>
              <w:t>.</w:t>
            </w:r>
          </w:p>
        </w:tc>
      </w:tr>
    </w:tbl>
    <w:p w14:paraId="2A8132E2" w14:textId="77777777" w:rsidR="00EA1CCC" w:rsidRDefault="00EA1CCC" w:rsidP="00EA1CCC">
      <w:pPr>
        <w:tabs>
          <w:tab w:val="left" w:pos="1440"/>
        </w:tabs>
        <w:spacing w:after="0" w:line="240" w:lineRule="auto"/>
        <w:ind w:firstLine="0"/>
        <w:rPr>
          <w:rFonts w:ascii="Times New Roman" w:hAnsi="Times New Roman"/>
          <w:szCs w:val="24"/>
          <w:lang w:eastAsia="bg-BG"/>
        </w:rPr>
      </w:pPr>
    </w:p>
    <w:p w14:paraId="3989E311" w14:textId="5A7805FF" w:rsidR="00EA1CCC" w:rsidRPr="007F6172" w:rsidRDefault="009F27EC" w:rsidP="00EA1CCC">
      <w:pPr>
        <w:tabs>
          <w:tab w:val="left" w:pos="1440"/>
        </w:tabs>
        <w:spacing w:after="0" w:line="240" w:lineRule="auto"/>
        <w:ind w:firstLine="0"/>
        <w:rPr>
          <w:rFonts w:ascii="Times New Roman" w:hAnsi="Times New Roman"/>
          <w:szCs w:val="24"/>
          <w:lang w:eastAsia="bg-BG"/>
        </w:rPr>
      </w:pPr>
      <w:r w:rsidRPr="004C6870">
        <w:rPr>
          <w:rFonts w:ascii="Times New Roman" w:hAnsi="Times New Roman"/>
          <w:b/>
        </w:rPr>
        <w:t>Проект на</w:t>
      </w:r>
      <w:r w:rsidRPr="004C6870">
        <w:rPr>
          <w:rFonts w:ascii="Times New Roman" w:hAnsi="Times New Roman"/>
          <w:b/>
          <w:szCs w:val="24"/>
          <w:lang w:eastAsia="bg-BG"/>
        </w:rPr>
        <w:t xml:space="preserve"> о</w:t>
      </w:r>
      <w:r w:rsidR="00EA1CCC" w:rsidRPr="004C6870">
        <w:rPr>
          <w:rFonts w:ascii="Times New Roman" w:hAnsi="Times New Roman"/>
          <w:b/>
          <w:szCs w:val="24"/>
          <w:lang w:eastAsia="bg-BG"/>
        </w:rPr>
        <w:t>бявление за обществена поръчка</w:t>
      </w:r>
    </w:p>
    <w:p w14:paraId="3EF61C97" w14:textId="77777777" w:rsidR="00EA1CCC" w:rsidRPr="00C04C6C" w:rsidRDefault="00EA1CCC" w:rsidP="00EA1CCC">
      <w:pPr>
        <w:spacing w:after="0" w:line="240" w:lineRule="auto"/>
        <w:ind w:firstLine="0"/>
        <w:jc w:val="left"/>
        <w:rPr>
          <w:rFonts w:ascii="Times New Roman" w:hAnsi="Times New Roman"/>
          <w:szCs w:val="24"/>
          <w:lang w:val="en-US"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409331E6" w14:textId="77777777" w:rsidTr="00594BBE">
        <w:trPr>
          <w:trHeight w:val="20"/>
        </w:trPr>
        <w:tc>
          <w:tcPr>
            <w:tcW w:w="9180" w:type="dxa"/>
            <w:tcBorders>
              <w:bottom w:val="single" w:sz="12" w:space="0" w:color="auto"/>
            </w:tcBorders>
            <w:shd w:val="clear" w:color="auto" w:fill="D9D9D9" w:themeFill="background1" w:themeFillShade="D9"/>
            <w:vAlign w:val="center"/>
          </w:tcPr>
          <w:p w14:paraId="02B3A37A" w14:textId="559F6137" w:rsidR="00EA1CCC" w:rsidRPr="00EA1CCC" w:rsidRDefault="00EA1CCC" w:rsidP="00C21E44">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A1CCC">
              <w:rPr>
                <w:rFonts w:ascii="Times New Roman" w:hAnsi="Times New Roman"/>
                <w:b/>
                <w:bCs/>
                <w:szCs w:val="24"/>
                <w:lang w:eastAsia="bg-BG"/>
              </w:rPr>
              <w:t>Обхват на поръчката</w:t>
            </w:r>
          </w:p>
        </w:tc>
      </w:tr>
      <w:tr w:rsidR="00D30507" w:rsidRPr="00EA1CCC" w14:paraId="51A18F2B" w14:textId="77777777" w:rsidTr="004C6870">
        <w:trPr>
          <w:trHeight w:val="20"/>
        </w:trPr>
        <w:tc>
          <w:tcPr>
            <w:tcW w:w="9180" w:type="dxa"/>
            <w:tcBorders>
              <w:top w:val="single" w:sz="4" w:space="0" w:color="auto"/>
            </w:tcBorders>
            <w:shd w:val="clear" w:color="auto" w:fill="auto"/>
            <w:vAlign w:val="center"/>
          </w:tcPr>
          <w:p w14:paraId="1BC07A61" w14:textId="77777777" w:rsidR="00D30507" w:rsidRDefault="00D30507" w:rsidP="00D30507">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2046FD0" w14:textId="03B2D2C3" w:rsidR="00AB0871" w:rsidRDefault="00506E88" w:rsidP="00AB0871">
            <w:pPr>
              <w:tabs>
                <w:tab w:val="left" w:pos="650"/>
                <w:tab w:val="right" w:pos="9360"/>
              </w:tabs>
              <w:spacing w:after="0" w:line="240" w:lineRule="auto"/>
              <w:ind w:firstLine="465"/>
              <w:rPr>
                <w:rFonts w:ascii="Times New Roman" w:hAnsi="Times New Roman"/>
                <w:sz w:val="26"/>
                <w:szCs w:val="26"/>
              </w:rPr>
            </w:pPr>
            <w:r>
              <w:rPr>
                <w:rFonts w:ascii="Times New Roman" w:hAnsi="Times New Roman"/>
                <w:sz w:val="26"/>
                <w:szCs w:val="26"/>
                <w:lang w:eastAsia="bg-BG"/>
              </w:rPr>
              <w:t>1.</w:t>
            </w:r>
            <w:r w:rsidR="00C04C6C">
              <w:t xml:space="preserve"> </w:t>
            </w:r>
            <w:r w:rsidR="00C04C6C" w:rsidRPr="0050554F">
              <w:rPr>
                <w:rFonts w:ascii="Times New Roman" w:hAnsi="Times New Roman"/>
                <w:sz w:val="26"/>
                <w:szCs w:val="26"/>
                <w:highlight w:val="green"/>
              </w:rPr>
              <w:t>В полета II.1.2) и II.2.2) на проекта на обявление е посочен код от Общ</w:t>
            </w:r>
            <w:r w:rsidR="00AB0871" w:rsidRPr="0050554F">
              <w:rPr>
                <w:rFonts w:ascii="Times New Roman" w:hAnsi="Times New Roman"/>
                <w:sz w:val="26"/>
                <w:szCs w:val="26"/>
                <w:highlight w:val="green"/>
              </w:rPr>
              <w:t xml:space="preserve">ия терминологичен речник (CPV) </w:t>
            </w:r>
            <w:r w:rsidR="00C04C6C" w:rsidRPr="0050554F">
              <w:rPr>
                <w:rFonts w:ascii="Times New Roman" w:hAnsi="Times New Roman"/>
                <w:sz w:val="26"/>
                <w:szCs w:val="26"/>
                <w:highlight w:val="green"/>
              </w:rPr>
              <w:t>50000000</w:t>
            </w:r>
            <w:r w:rsidR="00AB0871" w:rsidRPr="0050554F">
              <w:rPr>
                <w:rFonts w:ascii="Times New Roman" w:hAnsi="Times New Roman"/>
                <w:sz w:val="26"/>
                <w:szCs w:val="26"/>
                <w:highlight w:val="green"/>
              </w:rPr>
              <w:t xml:space="preserve"> -</w:t>
            </w:r>
            <w:r w:rsidR="00C04C6C" w:rsidRPr="0050554F">
              <w:rPr>
                <w:rFonts w:ascii="Times New Roman" w:hAnsi="Times New Roman"/>
                <w:sz w:val="26"/>
                <w:szCs w:val="26"/>
                <w:highlight w:val="green"/>
              </w:rPr>
              <w:t xml:space="preserve"> </w:t>
            </w:r>
            <w:r w:rsidR="00AB0871" w:rsidRPr="0050554F">
              <w:rPr>
                <w:rFonts w:ascii="Times New Roman" w:hAnsi="Times New Roman"/>
                <w:sz w:val="26"/>
                <w:szCs w:val="26"/>
                <w:highlight w:val="green"/>
              </w:rPr>
              <w:t>„Услуги по ремонт и поддръжка“</w:t>
            </w:r>
            <w:r w:rsidR="00C04C6C" w:rsidRPr="0050554F">
              <w:rPr>
                <w:rFonts w:ascii="Times New Roman" w:hAnsi="Times New Roman"/>
                <w:sz w:val="26"/>
                <w:szCs w:val="26"/>
                <w:highlight w:val="green"/>
              </w:rPr>
              <w:t>. Видно от поле II.1.</w:t>
            </w:r>
            <w:r w:rsidR="00AB0871" w:rsidRPr="0050554F">
              <w:rPr>
                <w:rFonts w:ascii="Times New Roman" w:hAnsi="Times New Roman"/>
                <w:sz w:val="26"/>
                <w:szCs w:val="26"/>
                <w:highlight w:val="green"/>
              </w:rPr>
              <w:t>1</w:t>
            </w:r>
            <w:r w:rsidR="00C04C6C" w:rsidRPr="0050554F">
              <w:rPr>
                <w:rFonts w:ascii="Times New Roman" w:hAnsi="Times New Roman"/>
                <w:sz w:val="26"/>
                <w:szCs w:val="26"/>
                <w:highlight w:val="green"/>
              </w:rPr>
              <w:t>)</w:t>
            </w:r>
            <w:r w:rsidR="00AB0871" w:rsidRPr="0050554F">
              <w:rPr>
                <w:rFonts w:ascii="Times New Roman" w:hAnsi="Times New Roman"/>
                <w:sz w:val="26"/>
                <w:szCs w:val="26"/>
                <w:highlight w:val="green"/>
              </w:rPr>
              <w:t xml:space="preserve">, предметът на поръчката са услуги по ремонт и пренавиване на електрически двигатели, с оглед на което препоръчваме отбелязване и на допълнителен СРV код </w:t>
            </w:r>
            <w:r w:rsidR="00AB0871" w:rsidRPr="0050554F">
              <w:rPr>
                <w:rFonts w:ascii="Times New Roman" w:hAnsi="Times New Roman"/>
                <w:sz w:val="26"/>
                <w:szCs w:val="26"/>
                <w:highlight w:val="green"/>
                <w:lang w:eastAsia="bg-BG"/>
              </w:rPr>
              <w:t xml:space="preserve">50532100 </w:t>
            </w:r>
            <w:r w:rsidR="00AB0871" w:rsidRPr="0050554F">
              <w:rPr>
                <w:rFonts w:ascii="Times New Roman" w:hAnsi="Times New Roman"/>
                <w:sz w:val="26"/>
                <w:szCs w:val="26"/>
                <w:highlight w:val="green"/>
              </w:rPr>
              <w:t>- „</w:t>
            </w:r>
            <w:r w:rsidR="00AB0871" w:rsidRPr="0050554F">
              <w:rPr>
                <w:rFonts w:ascii="Times New Roman" w:hAnsi="Times New Roman"/>
                <w:sz w:val="26"/>
                <w:szCs w:val="26"/>
                <w:highlight w:val="green"/>
                <w:lang w:eastAsia="bg-BG"/>
              </w:rPr>
              <w:t>Услуги по ремонт и поддържане на електродвигатели</w:t>
            </w:r>
            <w:r w:rsidR="00AB0871" w:rsidRPr="0050554F">
              <w:rPr>
                <w:rFonts w:ascii="Times New Roman" w:hAnsi="Times New Roman"/>
                <w:sz w:val="26"/>
                <w:szCs w:val="26"/>
                <w:highlight w:val="green"/>
              </w:rPr>
              <w:t xml:space="preserve">“ или друг, който </w:t>
            </w:r>
            <w:r w:rsidR="00C165FB" w:rsidRPr="0050554F">
              <w:rPr>
                <w:rFonts w:ascii="Times New Roman" w:hAnsi="Times New Roman"/>
                <w:sz w:val="26"/>
                <w:szCs w:val="26"/>
                <w:highlight w:val="green"/>
              </w:rPr>
              <w:t xml:space="preserve">по-точно </w:t>
            </w:r>
            <w:r w:rsidR="00AB0871" w:rsidRPr="0050554F">
              <w:rPr>
                <w:rFonts w:ascii="Times New Roman" w:hAnsi="Times New Roman"/>
                <w:sz w:val="26"/>
                <w:szCs w:val="26"/>
                <w:highlight w:val="green"/>
              </w:rPr>
              <w:t>описва възлаганата услуга.</w:t>
            </w:r>
          </w:p>
          <w:p w14:paraId="57C3CDB7" w14:textId="756A8B1B" w:rsidR="009F6370" w:rsidRPr="00012D5A" w:rsidRDefault="00AB0871" w:rsidP="00012D5A">
            <w:pPr>
              <w:tabs>
                <w:tab w:val="left" w:pos="650"/>
                <w:tab w:val="right" w:pos="9360"/>
              </w:tabs>
              <w:spacing w:after="0" w:line="240" w:lineRule="auto"/>
              <w:ind w:firstLine="465"/>
              <w:rPr>
                <w:rFonts w:ascii="Times New Roman" w:hAnsi="Times New Roman"/>
                <w:sz w:val="26"/>
                <w:szCs w:val="26"/>
                <w:lang w:eastAsia="bg-BG"/>
              </w:rPr>
            </w:pPr>
            <w:r w:rsidRPr="00BE3992">
              <w:rPr>
                <w:rFonts w:ascii="Times New Roman" w:hAnsi="Times New Roman"/>
                <w:sz w:val="26"/>
                <w:szCs w:val="26"/>
                <w:highlight w:val="green"/>
                <w:lang w:eastAsia="bg-BG"/>
              </w:rPr>
              <w:t xml:space="preserve">2. </w:t>
            </w:r>
            <w:r w:rsidR="009F6370" w:rsidRPr="00BE3992">
              <w:rPr>
                <w:rFonts w:ascii="Times New Roman" w:hAnsi="Times New Roman"/>
                <w:sz w:val="26"/>
                <w:szCs w:val="26"/>
                <w:highlight w:val="green"/>
                <w:lang w:eastAsia="bg-BG"/>
              </w:rPr>
              <w:t xml:space="preserve">В поле ІІ.2.4) не </w:t>
            </w:r>
            <w:r w:rsidR="0055313F" w:rsidRPr="00BE3992">
              <w:rPr>
                <w:rFonts w:ascii="Times New Roman" w:hAnsi="Times New Roman"/>
                <w:sz w:val="26"/>
                <w:szCs w:val="26"/>
                <w:highlight w:val="green"/>
                <w:lang w:eastAsia="bg-BG"/>
              </w:rPr>
              <w:t>с</w:t>
            </w:r>
            <w:r w:rsidR="009F6370" w:rsidRPr="00BE3992">
              <w:rPr>
                <w:rFonts w:ascii="Times New Roman" w:hAnsi="Times New Roman"/>
                <w:sz w:val="26"/>
                <w:szCs w:val="26"/>
                <w:highlight w:val="green"/>
                <w:lang w:eastAsia="bg-BG"/>
              </w:rPr>
              <w:t xml:space="preserve">е </w:t>
            </w:r>
            <w:r w:rsidR="0055313F" w:rsidRPr="00BE3992">
              <w:rPr>
                <w:rFonts w:ascii="Times New Roman" w:hAnsi="Times New Roman"/>
                <w:sz w:val="26"/>
                <w:szCs w:val="26"/>
                <w:highlight w:val="green"/>
                <w:lang w:eastAsia="bg-BG"/>
              </w:rPr>
              <w:t xml:space="preserve">съдържа информация за </w:t>
            </w:r>
            <w:r w:rsidR="009F6370" w:rsidRPr="00BE3992">
              <w:rPr>
                <w:rFonts w:ascii="Times New Roman" w:hAnsi="Times New Roman"/>
                <w:sz w:val="26"/>
                <w:szCs w:val="26"/>
                <w:highlight w:val="green"/>
                <w:lang w:eastAsia="bg-BG"/>
              </w:rPr>
              <w:t xml:space="preserve">естеството на възлаганите дейности, както и данни за количеството или обема им (вж. Приложение № 19, т. 3 ЗОП). </w:t>
            </w:r>
            <w:r w:rsidR="00C165FB" w:rsidRPr="00BE3992">
              <w:rPr>
                <w:rFonts w:ascii="Times New Roman" w:hAnsi="Times New Roman"/>
                <w:sz w:val="26"/>
                <w:szCs w:val="26"/>
                <w:highlight w:val="green"/>
                <w:lang w:eastAsia="bg-BG"/>
              </w:rPr>
              <w:t>Препоръчваме допълване.</w:t>
            </w:r>
          </w:p>
          <w:p w14:paraId="18C4D163" w14:textId="4F1D3CB3" w:rsidR="00E94AFC" w:rsidRPr="00EA1CCC" w:rsidRDefault="0055313F" w:rsidP="00731572">
            <w:pPr>
              <w:tabs>
                <w:tab w:val="left" w:pos="650"/>
                <w:tab w:val="right" w:pos="9360"/>
              </w:tabs>
              <w:spacing w:after="0" w:line="240" w:lineRule="auto"/>
              <w:ind w:firstLine="465"/>
              <w:rPr>
                <w:rFonts w:ascii="Times New Roman" w:hAnsi="Times New Roman"/>
                <w:bCs/>
                <w:sz w:val="26"/>
                <w:szCs w:val="26"/>
                <w:lang w:eastAsia="bg-BG"/>
              </w:rPr>
            </w:pPr>
            <w:r w:rsidRPr="00BE3992">
              <w:rPr>
                <w:rFonts w:ascii="Times New Roman" w:hAnsi="Times New Roman"/>
                <w:sz w:val="26"/>
                <w:szCs w:val="26"/>
                <w:highlight w:val="green"/>
                <w:lang w:eastAsia="bg-BG"/>
              </w:rPr>
              <w:t>3</w:t>
            </w:r>
            <w:r w:rsidR="00506E88" w:rsidRPr="00BE3992">
              <w:rPr>
                <w:rFonts w:ascii="Times New Roman" w:hAnsi="Times New Roman"/>
                <w:sz w:val="26"/>
                <w:szCs w:val="26"/>
                <w:highlight w:val="green"/>
                <w:lang w:eastAsia="bg-BG"/>
              </w:rPr>
              <w:t xml:space="preserve">. В поле ІІ.2.6) е посочено, че прогнозната стойност на поръчката е „1“  лв. без ДДС, което не съответства на информацията в </w:t>
            </w:r>
            <w:r w:rsidR="00166BB8" w:rsidRPr="00BE3992">
              <w:rPr>
                <w:rFonts w:ascii="Times New Roman" w:hAnsi="Times New Roman"/>
                <w:sz w:val="26"/>
                <w:szCs w:val="26"/>
                <w:highlight w:val="green"/>
                <w:lang w:eastAsia="bg-BG"/>
              </w:rPr>
              <w:t>придружителното писмо, с което са постъпили документите за контрол</w:t>
            </w:r>
            <w:r w:rsidR="00731572" w:rsidRPr="00BE3992">
              <w:rPr>
                <w:rFonts w:ascii="Times New Roman" w:hAnsi="Times New Roman"/>
                <w:sz w:val="26"/>
                <w:szCs w:val="26"/>
                <w:highlight w:val="green"/>
                <w:lang w:eastAsia="bg-BG"/>
              </w:rPr>
              <w:t>, в което е отбелязана прогнозна стойност на поръчката 243 400.00</w:t>
            </w:r>
            <w:r w:rsidR="00731572" w:rsidRPr="00BE3992">
              <w:rPr>
                <w:highlight w:val="green"/>
              </w:rPr>
              <w:t xml:space="preserve"> </w:t>
            </w:r>
            <w:r w:rsidR="00731572" w:rsidRPr="00BE3992">
              <w:rPr>
                <w:rFonts w:ascii="Times New Roman" w:hAnsi="Times New Roman"/>
                <w:sz w:val="26"/>
                <w:szCs w:val="26"/>
                <w:highlight w:val="green"/>
                <w:lang w:eastAsia="bg-BG"/>
              </w:rPr>
              <w:t>лв. без ДДС</w:t>
            </w:r>
            <w:r w:rsidR="00506E88" w:rsidRPr="00BE3992">
              <w:rPr>
                <w:rFonts w:ascii="Times New Roman" w:hAnsi="Times New Roman"/>
                <w:sz w:val="26"/>
                <w:szCs w:val="26"/>
                <w:highlight w:val="green"/>
                <w:lang w:eastAsia="bg-BG"/>
              </w:rPr>
              <w:t>.</w:t>
            </w:r>
            <w:r w:rsidR="00166BB8" w:rsidRPr="00BE3992">
              <w:rPr>
                <w:rFonts w:ascii="Times New Roman" w:hAnsi="Times New Roman"/>
                <w:sz w:val="26"/>
                <w:szCs w:val="26"/>
                <w:highlight w:val="green"/>
                <w:lang w:eastAsia="bg-BG"/>
              </w:rPr>
              <w:t xml:space="preserve"> </w:t>
            </w:r>
            <w:r w:rsidR="00E94AFC" w:rsidRPr="00BE3992">
              <w:rPr>
                <w:rFonts w:ascii="Times New Roman" w:hAnsi="Times New Roman"/>
                <w:bCs/>
                <w:sz w:val="26"/>
                <w:szCs w:val="26"/>
                <w:highlight w:val="green"/>
                <w:lang w:eastAsia="bg-BG"/>
              </w:rPr>
              <w:t>Препоръчваме уеднаквяване.</w:t>
            </w:r>
          </w:p>
        </w:tc>
      </w:tr>
    </w:tbl>
    <w:p w14:paraId="2DF027B2" w14:textId="384FF04A" w:rsidR="00635910" w:rsidRPr="00931E02" w:rsidRDefault="00635910" w:rsidP="00EA1CCC">
      <w:pPr>
        <w:spacing w:after="0" w:line="240" w:lineRule="auto"/>
        <w:ind w:firstLine="0"/>
        <w:jc w:val="left"/>
        <w:rPr>
          <w:rFonts w:ascii="Times New Roman" w:hAnsi="Times New Roman"/>
          <w:szCs w:val="24"/>
          <w:lang w:val="en-US"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2AEB4F3B" w14:textId="77777777" w:rsidTr="004C6870">
        <w:trPr>
          <w:trHeight w:val="20"/>
        </w:trPr>
        <w:tc>
          <w:tcPr>
            <w:tcW w:w="9180" w:type="dxa"/>
            <w:tcBorders>
              <w:bottom w:val="single" w:sz="12" w:space="0" w:color="auto"/>
            </w:tcBorders>
            <w:shd w:val="clear" w:color="auto" w:fill="D9D9D9"/>
            <w:vAlign w:val="center"/>
          </w:tcPr>
          <w:p w14:paraId="5F85CBE1" w14:textId="498AFFF9" w:rsidR="00EA1CCC" w:rsidRPr="00EA1CCC" w:rsidRDefault="00EA1CCC" w:rsidP="00594BBE">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EA1CCC">
              <w:rPr>
                <w:rFonts w:ascii="Times New Roman" w:hAnsi="Times New Roman"/>
                <w:b/>
                <w:szCs w:val="24"/>
                <w:lang w:eastAsia="bg-BG"/>
              </w:rPr>
              <w:t>Административна информация</w:t>
            </w:r>
          </w:p>
        </w:tc>
      </w:tr>
      <w:tr w:rsidR="00EA1CCC" w:rsidRPr="00EA1CCC" w14:paraId="3544127E" w14:textId="77777777" w:rsidTr="004C6870">
        <w:trPr>
          <w:trHeight w:val="20"/>
        </w:trPr>
        <w:tc>
          <w:tcPr>
            <w:tcW w:w="9180" w:type="dxa"/>
            <w:tcBorders>
              <w:top w:val="single" w:sz="2" w:space="0" w:color="auto"/>
              <w:bottom w:val="single" w:sz="12" w:space="0" w:color="auto"/>
              <w:right w:val="single" w:sz="12" w:space="0" w:color="auto"/>
            </w:tcBorders>
            <w:vAlign w:val="center"/>
          </w:tcPr>
          <w:p w14:paraId="0CA8697C" w14:textId="0444964B"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33E3626F" w14:textId="0A4F012B" w:rsidR="00A240C2" w:rsidRPr="00931E02" w:rsidRDefault="00FE49FA" w:rsidP="00931E02">
            <w:pPr>
              <w:spacing w:before="60" w:after="60" w:line="240" w:lineRule="auto"/>
              <w:ind w:firstLine="567"/>
              <w:rPr>
                <w:rFonts w:ascii="Times New Roman" w:hAnsi="Times New Roman"/>
                <w:bCs/>
                <w:sz w:val="26"/>
                <w:szCs w:val="26"/>
                <w:lang w:val="en-US" w:eastAsia="bg-BG"/>
              </w:rPr>
            </w:pPr>
            <w:r w:rsidRPr="007A6084">
              <w:rPr>
                <w:rFonts w:ascii="Times New Roman" w:hAnsi="Times New Roman"/>
                <w:bCs/>
                <w:sz w:val="26"/>
                <w:szCs w:val="26"/>
                <w:lang w:eastAsia="bg-BG"/>
              </w:rPr>
              <w:t>В поле</w:t>
            </w:r>
            <w:r>
              <w:rPr>
                <w:rFonts w:ascii="Times New Roman" w:hAnsi="Times New Roman"/>
                <w:bCs/>
                <w:sz w:val="26"/>
                <w:szCs w:val="26"/>
                <w:lang w:eastAsia="bg-BG"/>
              </w:rPr>
              <w:t>та</w:t>
            </w:r>
            <w:r w:rsidRPr="007A6084">
              <w:rPr>
                <w:rFonts w:ascii="Times New Roman" w:hAnsi="Times New Roman"/>
                <w:bCs/>
                <w:sz w:val="26"/>
                <w:szCs w:val="26"/>
                <w:lang w:eastAsia="bg-BG"/>
              </w:rPr>
              <w:t xml:space="preserve"> </w:t>
            </w:r>
            <w:r>
              <w:rPr>
                <w:rFonts w:ascii="Times New Roman" w:hAnsi="Times New Roman"/>
                <w:bCs/>
                <w:sz w:val="26"/>
                <w:szCs w:val="26"/>
                <w:lang w:eastAsia="bg-BG"/>
              </w:rPr>
              <w:t>IV.2.2</w:t>
            </w:r>
            <w:r w:rsidRPr="007A6084">
              <w:rPr>
                <w:rFonts w:ascii="Times New Roman" w:hAnsi="Times New Roman"/>
                <w:bCs/>
                <w:sz w:val="26"/>
                <w:szCs w:val="26"/>
                <w:lang w:eastAsia="bg-BG"/>
              </w:rPr>
              <w:t xml:space="preserve">) </w:t>
            </w:r>
            <w:r>
              <w:rPr>
                <w:rFonts w:ascii="Times New Roman" w:hAnsi="Times New Roman"/>
                <w:bCs/>
                <w:sz w:val="26"/>
                <w:szCs w:val="26"/>
                <w:lang w:eastAsia="bg-BG"/>
              </w:rPr>
              <w:t xml:space="preserve">и </w:t>
            </w:r>
            <w:r w:rsidRPr="007A6084">
              <w:rPr>
                <w:rFonts w:ascii="Times New Roman" w:hAnsi="Times New Roman"/>
                <w:bCs/>
                <w:sz w:val="26"/>
                <w:szCs w:val="26"/>
                <w:lang w:eastAsia="bg-BG"/>
              </w:rPr>
              <w:t>IV.2.7) липсва информация за ср</w:t>
            </w:r>
            <w:r w:rsidR="00FB2948">
              <w:rPr>
                <w:rFonts w:ascii="Times New Roman" w:hAnsi="Times New Roman"/>
                <w:bCs/>
                <w:sz w:val="26"/>
                <w:szCs w:val="26"/>
                <w:lang w:eastAsia="bg-BG"/>
              </w:rPr>
              <w:t>ока за получаване на офертите</w:t>
            </w:r>
            <w:r w:rsidR="00C165FB">
              <w:rPr>
                <w:rFonts w:ascii="Times New Roman" w:hAnsi="Times New Roman"/>
                <w:bCs/>
                <w:sz w:val="26"/>
                <w:szCs w:val="26"/>
                <w:lang w:eastAsia="bg-BG"/>
              </w:rPr>
              <w:t xml:space="preserve"> и</w:t>
            </w:r>
            <w:r w:rsidR="00FB2948">
              <w:rPr>
                <w:rFonts w:ascii="Times New Roman" w:hAnsi="Times New Roman"/>
                <w:bCs/>
                <w:sz w:val="26"/>
                <w:szCs w:val="26"/>
                <w:lang w:eastAsia="bg-BG"/>
              </w:rPr>
              <w:t xml:space="preserve"> </w:t>
            </w:r>
            <w:r w:rsidRPr="007A6084">
              <w:rPr>
                <w:rFonts w:ascii="Times New Roman" w:hAnsi="Times New Roman"/>
                <w:bCs/>
                <w:sz w:val="26"/>
                <w:szCs w:val="26"/>
                <w:lang w:eastAsia="bg-BG"/>
              </w:rPr>
              <w:t>датата</w:t>
            </w:r>
            <w:r w:rsidR="00FB2948">
              <w:rPr>
                <w:rFonts w:ascii="Times New Roman" w:hAnsi="Times New Roman"/>
                <w:bCs/>
                <w:sz w:val="26"/>
                <w:szCs w:val="26"/>
                <w:lang w:eastAsia="bg-BG"/>
              </w:rPr>
              <w:t xml:space="preserve"> </w:t>
            </w:r>
            <w:r w:rsidRPr="007A6084">
              <w:rPr>
                <w:rFonts w:ascii="Times New Roman" w:hAnsi="Times New Roman"/>
                <w:bCs/>
                <w:sz w:val="26"/>
                <w:szCs w:val="26"/>
                <w:lang w:eastAsia="bg-BG"/>
              </w:rPr>
              <w:t>на тяхното отваряне. Препоръчваме при откриване на процедурата информацията да се допълни, като се съобразят мин</w:t>
            </w:r>
            <w:r>
              <w:rPr>
                <w:rFonts w:ascii="Times New Roman" w:hAnsi="Times New Roman"/>
                <w:bCs/>
                <w:sz w:val="26"/>
                <w:szCs w:val="26"/>
                <w:lang w:eastAsia="bg-BG"/>
              </w:rPr>
              <w:t>ималните срокове по чл. 178, ал.</w:t>
            </w:r>
            <w:r w:rsidR="00731572" w:rsidRPr="007F6172">
              <w:rPr>
                <w:rFonts w:ascii="Times New Roman" w:hAnsi="Times New Roman"/>
                <w:bCs/>
                <w:sz w:val="26"/>
                <w:szCs w:val="26"/>
                <w:lang w:eastAsia="bg-BG"/>
              </w:rPr>
              <w:t xml:space="preserve"> </w:t>
            </w:r>
            <w:r>
              <w:rPr>
                <w:rFonts w:ascii="Times New Roman" w:hAnsi="Times New Roman"/>
                <w:bCs/>
                <w:sz w:val="26"/>
                <w:szCs w:val="26"/>
                <w:lang w:eastAsia="bg-BG"/>
              </w:rPr>
              <w:t xml:space="preserve">2 </w:t>
            </w:r>
            <w:r w:rsidR="00C5718B" w:rsidRPr="00C5718B">
              <w:rPr>
                <w:rFonts w:ascii="Times New Roman" w:hAnsi="Times New Roman"/>
                <w:bCs/>
                <w:sz w:val="26"/>
                <w:szCs w:val="26"/>
                <w:lang w:eastAsia="bg-BG"/>
              </w:rPr>
              <w:t xml:space="preserve">и ал. 3 </w:t>
            </w:r>
            <w:r>
              <w:rPr>
                <w:rFonts w:ascii="Times New Roman" w:hAnsi="Times New Roman"/>
                <w:bCs/>
                <w:sz w:val="26"/>
                <w:szCs w:val="26"/>
                <w:lang w:eastAsia="bg-BG"/>
              </w:rPr>
              <w:t>ЗОП</w:t>
            </w:r>
            <w:r w:rsidR="00012D5A">
              <w:rPr>
                <w:rFonts w:ascii="Times New Roman" w:hAnsi="Times New Roman"/>
                <w:bCs/>
                <w:sz w:val="26"/>
                <w:szCs w:val="26"/>
                <w:lang w:eastAsia="bg-BG"/>
              </w:rPr>
              <w:t xml:space="preserve"> </w:t>
            </w:r>
            <w:r w:rsidR="00C5718B" w:rsidRPr="007F6172">
              <w:rPr>
                <w:rFonts w:ascii="Times New Roman" w:hAnsi="Times New Roman"/>
                <w:bCs/>
                <w:sz w:val="26"/>
                <w:szCs w:val="26"/>
                <w:lang w:eastAsia="bg-BG"/>
              </w:rPr>
              <w:t>(</w:t>
            </w:r>
            <w:r w:rsidR="00C5718B">
              <w:rPr>
                <w:rFonts w:ascii="Times New Roman" w:hAnsi="Times New Roman"/>
                <w:bCs/>
                <w:sz w:val="26"/>
                <w:szCs w:val="26"/>
                <w:lang w:eastAsia="bg-BG"/>
              </w:rPr>
              <w:t xml:space="preserve"> вж. </w:t>
            </w:r>
            <w:r w:rsidR="00C5718B" w:rsidRPr="00C5718B">
              <w:rPr>
                <w:rFonts w:ascii="Times New Roman" w:hAnsi="Times New Roman"/>
                <w:bCs/>
                <w:sz w:val="26"/>
                <w:szCs w:val="26"/>
                <w:lang w:eastAsia="bg-BG"/>
              </w:rPr>
              <w:t xml:space="preserve">Приложение № 19, т. 9 </w:t>
            </w:r>
            <w:r w:rsidR="00C5718B">
              <w:rPr>
                <w:rFonts w:ascii="Times New Roman" w:hAnsi="Times New Roman"/>
                <w:bCs/>
                <w:sz w:val="26"/>
                <w:szCs w:val="26"/>
                <w:lang w:eastAsia="bg-BG"/>
              </w:rPr>
              <w:t xml:space="preserve">и т.10 </w:t>
            </w:r>
            <w:r w:rsidR="00C5718B" w:rsidRPr="00C5718B">
              <w:rPr>
                <w:rFonts w:ascii="Times New Roman" w:hAnsi="Times New Roman"/>
                <w:bCs/>
                <w:sz w:val="26"/>
                <w:szCs w:val="26"/>
                <w:lang w:eastAsia="bg-BG"/>
              </w:rPr>
              <w:t>ЗОП).</w:t>
            </w:r>
          </w:p>
        </w:tc>
      </w:tr>
    </w:tbl>
    <w:p w14:paraId="0F864145" w14:textId="77777777" w:rsidR="00EA1CCC" w:rsidRDefault="00EA1CCC"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0CA4837A" w14:textId="77777777" w:rsidTr="004C6870">
        <w:trPr>
          <w:trHeight w:val="20"/>
        </w:trPr>
        <w:tc>
          <w:tcPr>
            <w:tcW w:w="9180" w:type="dxa"/>
            <w:tcBorders>
              <w:bottom w:val="single" w:sz="12" w:space="0" w:color="auto"/>
            </w:tcBorders>
            <w:shd w:val="clear" w:color="auto" w:fill="D9D9D9"/>
            <w:vAlign w:val="center"/>
          </w:tcPr>
          <w:p w14:paraId="074C13E9" w14:textId="748AC25B" w:rsidR="00EA1CCC" w:rsidRPr="00EA1CCC" w:rsidRDefault="00EA1CCC" w:rsidP="00594BBE">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EA1CCC">
              <w:rPr>
                <w:rFonts w:ascii="Times New Roman" w:hAnsi="Times New Roman"/>
                <w:b/>
                <w:szCs w:val="24"/>
                <w:lang w:eastAsia="bg-BG"/>
              </w:rPr>
              <w:t>Допълнителна информация</w:t>
            </w:r>
          </w:p>
        </w:tc>
      </w:tr>
      <w:tr w:rsidR="00EA1CCC" w:rsidRPr="00EA1CCC" w14:paraId="34C79ED7" w14:textId="77777777" w:rsidTr="004C6870">
        <w:trPr>
          <w:trHeight w:val="20"/>
        </w:trPr>
        <w:tc>
          <w:tcPr>
            <w:tcW w:w="9180" w:type="dxa"/>
            <w:tcBorders>
              <w:top w:val="single" w:sz="2" w:space="0" w:color="auto"/>
              <w:bottom w:val="single" w:sz="12" w:space="0" w:color="auto"/>
              <w:right w:val="single" w:sz="12" w:space="0" w:color="auto"/>
            </w:tcBorders>
            <w:vAlign w:val="center"/>
          </w:tcPr>
          <w:p w14:paraId="24895ACF" w14:textId="77777777"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5228DD26" w14:textId="0615F9F6" w:rsidR="001A2242" w:rsidRPr="00C27022" w:rsidRDefault="001A2242" w:rsidP="002A1D3B">
            <w:pPr>
              <w:tabs>
                <w:tab w:val="left" w:pos="380"/>
              </w:tabs>
              <w:spacing w:after="0" w:line="240" w:lineRule="auto"/>
              <w:ind w:firstLine="555"/>
              <w:rPr>
                <w:rFonts w:ascii="Times New Roman" w:eastAsia="Calibri" w:hAnsi="Times New Roman"/>
                <w:sz w:val="26"/>
                <w:szCs w:val="26"/>
              </w:rPr>
            </w:pPr>
            <w:r w:rsidRPr="00A7516E">
              <w:rPr>
                <w:rFonts w:ascii="Times New Roman" w:eastAsia="Calibri" w:hAnsi="Times New Roman"/>
                <w:sz w:val="26"/>
                <w:szCs w:val="26"/>
              </w:rPr>
              <w:t xml:space="preserve">В </w:t>
            </w:r>
            <w:r w:rsidRPr="00C27022">
              <w:rPr>
                <w:rFonts w:ascii="Times New Roman" w:eastAsia="Calibri" w:hAnsi="Times New Roman"/>
                <w:sz w:val="26"/>
                <w:szCs w:val="26"/>
              </w:rPr>
              <w:t>поле VI.3), т. 3.2</w:t>
            </w:r>
            <w:r w:rsidR="002A1D3B">
              <w:rPr>
                <w:rFonts w:ascii="Times New Roman" w:eastAsia="Calibri" w:hAnsi="Times New Roman"/>
                <w:sz w:val="26"/>
                <w:szCs w:val="26"/>
                <w:lang w:val="en-US"/>
              </w:rPr>
              <w:t>.</w:t>
            </w:r>
            <w:r w:rsidRPr="00A7516E">
              <w:rPr>
                <w:rFonts w:ascii="Times New Roman" w:eastAsia="Calibri" w:hAnsi="Times New Roman"/>
                <w:sz w:val="26"/>
                <w:szCs w:val="26"/>
              </w:rPr>
              <w:t xml:space="preserve"> са цитирани националните основания за отстраняване, свързани с попълването на Единния европейски документ</w:t>
            </w:r>
            <w:r>
              <w:rPr>
                <w:rFonts w:ascii="Times New Roman" w:eastAsia="Calibri" w:hAnsi="Times New Roman"/>
                <w:sz w:val="26"/>
                <w:szCs w:val="26"/>
              </w:rPr>
              <w:t xml:space="preserve"> за обществени </w:t>
            </w:r>
            <w:r>
              <w:rPr>
                <w:rFonts w:ascii="Times New Roman" w:eastAsia="Calibri" w:hAnsi="Times New Roman"/>
                <w:sz w:val="26"/>
                <w:szCs w:val="26"/>
              </w:rPr>
              <w:lastRenderedPageBreak/>
              <w:t xml:space="preserve">поръчки. </w:t>
            </w:r>
            <w:r w:rsidRPr="00C27022">
              <w:rPr>
                <w:rFonts w:ascii="Times New Roman" w:eastAsia="Calibri" w:hAnsi="Times New Roman"/>
                <w:sz w:val="26"/>
                <w:szCs w:val="26"/>
              </w:rPr>
              <w:t xml:space="preserve">Препоръчваме текстът да се прецизира, като </w:t>
            </w:r>
            <w:r w:rsidR="00247F89" w:rsidRPr="007F6172">
              <w:rPr>
                <w:rFonts w:ascii="Times New Roman" w:eastAsiaTheme="minorHAnsi" w:hAnsi="Times New Roman"/>
                <w:sz w:val="26"/>
                <w:szCs w:val="26"/>
              </w:rPr>
              <w:t>отпаднат думите „освен ако е реабилитиран“</w:t>
            </w:r>
            <w:r w:rsidR="00247F89">
              <w:rPr>
                <w:rFonts w:ascii="Times New Roman" w:eastAsiaTheme="minorHAnsi" w:hAnsi="Times New Roman"/>
                <w:sz w:val="26"/>
                <w:szCs w:val="26"/>
              </w:rPr>
              <w:t xml:space="preserve"> и </w:t>
            </w:r>
            <w:r w:rsidRPr="00C27022">
              <w:rPr>
                <w:rFonts w:ascii="Times New Roman" w:eastAsia="Calibri" w:hAnsi="Times New Roman"/>
                <w:sz w:val="26"/>
                <w:szCs w:val="26"/>
              </w:rPr>
              <w:t>се има предвид, че:</w:t>
            </w:r>
          </w:p>
          <w:p w14:paraId="7E180202" w14:textId="57DF28E0" w:rsidR="00C4122D" w:rsidRPr="00B773A1" w:rsidRDefault="00B773A1" w:rsidP="002A1D3B">
            <w:pPr>
              <w:tabs>
                <w:tab w:val="left" w:pos="380"/>
              </w:tabs>
              <w:spacing w:after="0" w:line="240" w:lineRule="auto"/>
              <w:rPr>
                <w:rFonts w:ascii="Times New Roman" w:eastAsiaTheme="minorHAnsi" w:hAnsi="Times New Roman"/>
                <w:sz w:val="26"/>
                <w:szCs w:val="26"/>
              </w:rPr>
            </w:pPr>
            <w:r w:rsidRPr="001A2242">
              <w:rPr>
                <w:rFonts w:ascii="Times New Roman" w:eastAsiaTheme="minorHAnsi" w:hAnsi="Times New Roman"/>
                <w:sz w:val="26"/>
                <w:szCs w:val="26"/>
              </w:rPr>
              <w:t>1.</w:t>
            </w:r>
            <w:r w:rsidR="001A2242">
              <w:rPr>
                <w:rFonts w:ascii="Times New Roman" w:eastAsiaTheme="minorHAnsi" w:hAnsi="Times New Roman"/>
                <w:sz w:val="26"/>
                <w:szCs w:val="26"/>
              </w:rPr>
              <w:t xml:space="preserve"> </w:t>
            </w:r>
            <w:r w:rsidR="00C4122D" w:rsidRPr="001A2242">
              <w:rPr>
                <w:rFonts w:ascii="Times New Roman" w:eastAsiaTheme="minorHAnsi" w:hAnsi="Times New Roman"/>
                <w:sz w:val="26"/>
                <w:szCs w:val="26"/>
              </w:rPr>
              <w:t>не са</w:t>
            </w:r>
            <w:r w:rsidR="00C4122D" w:rsidRPr="00B773A1">
              <w:rPr>
                <w:rFonts w:ascii="Times New Roman" w:eastAsiaTheme="minorHAnsi" w:hAnsi="Times New Roman"/>
                <w:sz w:val="26"/>
                <w:szCs w:val="26"/>
              </w:rPr>
              <w:t xml:space="preserve"> разписани изчерпателно всички национални </w:t>
            </w:r>
            <w:r w:rsidR="0083196E" w:rsidRPr="007F6172">
              <w:rPr>
                <w:rFonts w:ascii="Times New Roman" w:eastAsiaTheme="minorHAnsi" w:hAnsi="Times New Roman"/>
                <w:sz w:val="26"/>
                <w:szCs w:val="26"/>
              </w:rPr>
              <w:t>основания за</w:t>
            </w:r>
            <w:r w:rsidR="0083196E" w:rsidRPr="00B773A1">
              <w:rPr>
                <w:rFonts w:ascii="Times New Roman" w:eastAsiaTheme="minorHAnsi" w:hAnsi="Times New Roman"/>
                <w:sz w:val="26"/>
                <w:szCs w:val="26"/>
              </w:rPr>
              <w:t xml:space="preserve"> </w:t>
            </w:r>
            <w:r w:rsidR="00C4122D" w:rsidRPr="007F6172">
              <w:rPr>
                <w:rFonts w:ascii="Times New Roman" w:eastAsiaTheme="minorHAnsi" w:hAnsi="Times New Roman"/>
                <w:sz w:val="26"/>
                <w:szCs w:val="26"/>
              </w:rPr>
              <w:t xml:space="preserve">отстраняване </w:t>
            </w:r>
            <w:r w:rsidR="00C4122D" w:rsidRPr="00B773A1">
              <w:rPr>
                <w:rFonts w:ascii="Times New Roman" w:eastAsiaTheme="minorHAnsi" w:hAnsi="Times New Roman"/>
                <w:sz w:val="26"/>
                <w:szCs w:val="26"/>
              </w:rPr>
              <w:t>например:</w:t>
            </w:r>
          </w:p>
          <w:p w14:paraId="08749652" w14:textId="3BA3F60D" w:rsidR="0083196E" w:rsidRPr="00B773A1" w:rsidRDefault="001A2242" w:rsidP="002A1D3B">
            <w:pPr>
              <w:tabs>
                <w:tab w:val="left" w:pos="380"/>
              </w:tabs>
              <w:spacing w:after="0" w:line="240" w:lineRule="auto"/>
              <w:ind w:firstLine="380"/>
              <w:rPr>
                <w:rFonts w:ascii="Times New Roman" w:eastAsiaTheme="minorHAnsi" w:hAnsi="Times New Roman"/>
                <w:sz w:val="26"/>
                <w:szCs w:val="26"/>
              </w:rPr>
            </w:pPr>
            <w:r>
              <w:rPr>
                <w:rFonts w:ascii="Times New Roman" w:eastAsiaTheme="minorHAnsi" w:hAnsi="Times New Roman"/>
                <w:sz w:val="26"/>
                <w:szCs w:val="26"/>
              </w:rPr>
              <w:t>-</w:t>
            </w:r>
            <w:r w:rsidR="0083196E" w:rsidRPr="00B773A1">
              <w:rPr>
                <w:rFonts w:ascii="Times New Roman" w:eastAsiaTheme="minorHAnsi" w:hAnsi="Times New Roman"/>
                <w:sz w:val="26"/>
                <w:szCs w:val="26"/>
              </w:rPr>
              <w:t xml:space="preserve"> осъждания за престъпления по чл. 254а – 255а и чл. 256 – 260 </w:t>
            </w:r>
            <w:r>
              <w:rPr>
                <w:rFonts w:ascii="Times New Roman" w:eastAsiaTheme="minorHAnsi" w:hAnsi="Times New Roman"/>
                <w:sz w:val="26"/>
                <w:szCs w:val="26"/>
              </w:rPr>
              <w:t xml:space="preserve">от </w:t>
            </w:r>
            <w:r w:rsidR="0083196E" w:rsidRPr="00B773A1">
              <w:rPr>
                <w:rFonts w:ascii="Times New Roman" w:eastAsiaTheme="minorHAnsi" w:hAnsi="Times New Roman"/>
                <w:sz w:val="26"/>
                <w:szCs w:val="26"/>
              </w:rPr>
              <w:t>Н</w:t>
            </w:r>
            <w:r>
              <w:rPr>
                <w:rFonts w:ascii="Times New Roman" w:eastAsiaTheme="minorHAnsi" w:hAnsi="Times New Roman"/>
                <w:sz w:val="26"/>
                <w:szCs w:val="26"/>
              </w:rPr>
              <w:t>аказателния кодекс</w:t>
            </w:r>
            <w:r w:rsidR="0083196E" w:rsidRPr="00B773A1">
              <w:rPr>
                <w:rFonts w:ascii="Times New Roman" w:eastAsiaTheme="minorHAnsi" w:hAnsi="Times New Roman"/>
                <w:sz w:val="26"/>
                <w:szCs w:val="26"/>
              </w:rPr>
              <w:t>;</w:t>
            </w:r>
          </w:p>
          <w:p w14:paraId="7A11F40B" w14:textId="77777777" w:rsidR="00C4122D" w:rsidRPr="0083196E" w:rsidRDefault="00C4122D" w:rsidP="002A1D3B">
            <w:pPr>
              <w:tabs>
                <w:tab w:val="left" w:pos="380"/>
              </w:tabs>
              <w:spacing w:after="0" w:line="240" w:lineRule="auto"/>
              <w:ind w:firstLine="380"/>
              <w:rPr>
                <w:rFonts w:ascii="Times New Roman" w:eastAsiaTheme="minorHAnsi" w:hAnsi="Times New Roman"/>
                <w:sz w:val="26"/>
                <w:szCs w:val="26"/>
              </w:rPr>
            </w:pPr>
            <w:r w:rsidRPr="0083196E">
              <w:rPr>
                <w:rFonts w:ascii="Times New Roman" w:eastAsiaTheme="minorHAnsi" w:hAnsi="Times New Roman"/>
                <w:sz w:val="26"/>
                <w:szCs w:val="26"/>
              </w:rPr>
              <w:t>- основанието по</w:t>
            </w:r>
            <w:r w:rsidRPr="007F6172">
              <w:rPr>
                <w:rFonts w:ascii="Times New Roman" w:eastAsiaTheme="minorHAnsi" w:hAnsi="Times New Roman"/>
                <w:sz w:val="26"/>
                <w:szCs w:val="26"/>
              </w:rPr>
              <w:t xml:space="preserve"> </w:t>
            </w:r>
            <w:r w:rsidRPr="0083196E">
              <w:rPr>
                <w:rFonts w:ascii="Times New Roman" w:eastAsiaTheme="minorHAnsi" w:hAnsi="Times New Roman"/>
                <w:sz w:val="26"/>
                <w:szCs w:val="26"/>
              </w:rPr>
              <w:t xml:space="preserve"> </w:t>
            </w:r>
            <w:r w:rsidRPr="007F6172">
              <w:rPr>
                <w:rFonts w:ascii="Times New Roman" w:eastAsiaTheme="minorHAnsi" w:hAnsi="Times New Roman"/>
                <w:sz w:val="26"/>
                <w:szCs w:val="26"/>
              </w:rPr>
              <w:t>чл. 69 от Закона за противодействие на корупцията и за отнемане на незаконно придобитото имущество</w:t>
            </w:r>
            <w:r w:rsidRPr="0083196E">
              <w:rPr>
                <w:rFonts w:ascii="Times New Roman" w:eastAsiaTheme="minorHAnsi" w:hAnsi="Times New Roman"/>
                <w:sz w:val="26"/>
                <w:szCs w:val="26"/>
              </w:rPr>
              <w:t>;</w:t>
            </w:r>
          </w:p>
          <w:p w14:paraId="1DCC4ACD" w14:textId="1C2322C6" w:rsidR="00C4122D" w:rsidRPr="002A1D3B" w:rsidRDefault="00C4122D" w:rsidP="002A1D3B">
            <w:pPr>
              <w:tabs>
                <w:tab w:val="left" w:pos="380"/>
              </w:tabs>
              <w:spacing w:after="0" w:line="240" w:lineRule="auto"/>
              <w:ind w:firstLine="380"/>
              <w:rPr>
                <w:rFonts w:ascii="Times New Roman" w:hAnsi="Times New Roman"/>
                <w:sz w:val="26"/>
                <w:szCs w:val="26"/>
              </w:rPr>
            </w:pPr>
            <w:r w:rsidRPr="0083196E">
              <w:rPr>
                <w:rFonts w:ascii="Times New Roman" w:hAnsi="Times New Roman"/>
                <w:color w:val="333333"/>
                <w:sz w:val="26"/>
                <w:szCs w:val="26"/>
              </w:rPr>
              <w:t xml:space="preserve">- </w:t>
            </w:r>
            <w:r w:rsidRPr="002A1D3B">
              <w:rPr>
                <w:rFonts w:ascii="Times New Roman" w:hAnsi="Times New Roman"/>
                <w:sz w:val="26"/>
                <w:szCs w:val="26"/>
              </w:rPr>
              <w:t>наличие на нарушение по чл. 61, ал. 1, чл. 62, ал. 1 или 3, чл. 63, ал. 1 или 2,                    чл. 228, ал. 3 от Кодекса на труда;</w:t>
            </w:r>
          </w:p>
          <w:p w14:paraId="415E573D" w14:textId="28B2434F" w:rsidR="00C4122D" w:rsidRPr="002A1D3B" w:rsidRDefault="001A2242" w:rsidP="002A1D3B">
            <w:pPr>
              <w:tabs>
                <w:tab w:val="left" w:pos="380"/>
              </w:tabs>
              <w:spacing w:after="0" w:line="240" w:lineRule="auto"/>
              <w:ind w:firstLine="380"/>
              <w:rPr>
                <w:rFonts w:ascii="Times New Roman" w:hAnsi="Times New Roman"/>
                <w:sz w:val="26"/>
                <w:szCs w:val="26"/>
              </w:rPr>
            </w:pPr>
            <w:r w:rsidRPr="002A1D3B">
              <w:rPr>
                <w:rFonts w:ascii="Times New Roman" w:hAnsi="Times New Roman"/>
                <w:sz w:val="26"/>
                <w:szCs w:val="26"/>
              </w:rPr>
              <w:t>-</w:t>
            </w:r>
            <w:r w:rsidR="00C4122D" w:rsidRPr="002A1D3B">
              <w:rPr>
                <w:rFonts w:ascii="Times New Roman" w:hAnsi="Times New Roman"/>
                <w:sz w:val="26"/>
                <w:szCs w:val="26"/>
              </w:rPr>
              <w:t xml:space="preserve"> наличие на нарушение по чл. 13, ал. 1 от Закона за трудовата миграция и трудовата мобилност;</w:t>
            </w:r>
            <w:bookmarkStart w:id="2" w:name="_GoBack"/>
            <w:bookmarkEnd w:id="2"/>
          </w:p>
          <w:p w14:paraId="5B45A4E9" w14:textId="33C4A524" w:rsidR="00C4122D" w:rsidRPr="002A1D3B" w:rsidRDefault="001A2242" w:rsidP="002A1D3B">
            <w:pPr>
              <w:tabs>
                <w:tab w:val="left" w:pos="380"/>
              </w:tabs>
              <w:spacing w:after="0" w:line="240" w:lineRule="auto"/>
              <w:ind w:firstLine="380"/>
              <w:rPr>
                <w:rFonts w:ascii="Times New Roman" w:hAnsi="Times New Roman"/>
                <w:sz w:val="26"/>
                <w:szCs w:val="26"/>
              </w:rPr>
            </w:pPr>
            <w:r w:rsidRPr="002A1D3B">
              <w:rPr>
                <w:rFonts w:ascii="Times New Roman" w:hAnsi="Times New Roman"/>
                <w:sz w:val="26"/>
                <w:szCs w:val="26"/>
              </w:rPr>
              <w:t>-</w:t>
            </w:r>
            <w:r w:rsidR="00C4122D" w:rsidRPr="002A1D3B">
              <w:rPr>
                <w:rFonts w:ascii="Times New Roman" w:hAnsi="Times New Roman"/>
                <w:sz w:val="26"/>
                <w:szCs w:val="26"/>
              </w:rPr>
              <w:t xml:space="preserve"> наличие на свързаност по смисъла на § 2, т. 45 от Допълнителните разпоредби на ЗОП между участници в конкретна процедура</w:t>
            </w:r>
            <w:r w:rsidR="00BD09E4" w:rsidRPr="002A1D3B">
              <w:rPr>
                <w:rFonts w:ascii="Times New Roman" w:hAnsi="Times New Roman"/>
                <w:sz w:val="26"/>
                <w:szCs w:val="26"/>
              </w:rPr>
              <w:t>.</w:t>
            </w:r>
            <w:r w:rsidR="00C4122D" w:rsidRPr="002A1D3B">
              <w:rPr>
                <w:rFonts w:ascii="Times New Roman" w:hAnsi="Times New Roman"/>
                <w:sz w:val="26"/>
                <w:szCs w:val="26"/>
              </w:rPr>
              <w:t xml:space="preserve"> </w:t>
            </w:r>
          </w:p>
          <w:p w14:paraId="062A727E" w14:textId="5065E9F0" w:rsidR="00C4122D" w:rsidRPr="002A1D3B" w:rsidRDefault="00C4122D" w:rsidP="002A1D3B">
            <w:pPr>
              <w:tabs>
                <w:tab w:val="left" w:pos="380"/>
              </w:tabs>
              <w:spacing w:after="0" w:line="240" w:lineRule="auto"/>
              <w:ind w:firstLine="740"/>
              <w:textAlignment w:val="center"/>
              <w:rPr>
                <w:rFonts w:ascii="Times New Roman" w:eastAsiaTheme="minorHAnsi" w:hAnsi="Times New Roman"/>
                <w:sz w:val="26"/>
                <w:szCs w:val="26"/>
                <w:lang w:val="en-US"/>
              </w:rPr>
            </w:pPr>
            <w:r w:rsidRPr="00C4122D">
              <w:rPr>
                <w:rFonts w:ascii="Times New Roman" w:eastAsiaTheme="minorHAnsi" w:hAnsi="Times New Roman"/>
                <w:sz w:val="26"/>
                <w:szCs w:val="26"/>
              </w:rPr>
              <w:t xml:space="preserve">2. </w:t>
            </w:r>
            <w:r w:rsidR="00BD09E4">
              <w:rPr>
                <w:rFonts w:ascii="Times New Roman" w:eastAsiaTheme="minorHAnsi" w:hAnsi="Times New Roman"/>
                <w:sz w:val="26"/>
                <w:szCs w:val="26"/>
              </w:rPr>
              <w:t xml:space="preserve">част от изброените основания за отстраняване </w:t>
            </w:r>
            <w:r w:rsidR="00BD09E4" w:rsidRPr="00C4122D">
              <w:rPr>
                <w:rFonts w:ascii="Times New Roman" w:eastAsiaTheme="minorHAnsi" w:hAnsi="Times New Roman"/>
                <w:sz w:val="26"/>
                <w:szCs w:val="26"/>
              </w:rPr>
              <w:t>не са национални основания</w:t>
            </w:r>
            <w:r w:rsidR="00BD09E4">
              <w:rPr>
                <w:rFonts w:ascii="Times New Roman" w:eastAsiaTheme="minorHAnsi" w:hAnsi="Times New Roman"/>
                <w:sz w:val="26"/>
                <w:szCs w:val="26"/>
              </w:rPr>
              <w:t>, например:</w:t>
            </w:r>
            <w:r w:rsidR="00BD09E4" w:rsidRPr="00C4122D">
              <w:rPr>
                <w:rFonts w:ascii="Times New Roman" w:eastAsiaTheme="minorHAnsi" w:hAnsi="Times New Roman"/>
                <w:sz w:val="26"/>
                <w:szCs w:val="26"/>
              </w:rPr>
              <w:t xml:space="preserve"> </w:t>
            </w:r>
            <w:r w:rsidRPr="00C4122D">
              <w:rPr>
                <w:rFonts w:ascii="Times New Roman" w:eastAsiaTheme="minorHAnsi" w:hAnsi="Times New Roman"/>
                <w:sz w:val="26"/>
                <w:szCs w:val="26"/>
              </w:rPr>
              <w:t>осъжданията за престъ</w:t>
            </w:r>
            <w:r w:rsidR="00FC054B">
              <w:rPr>
                <w:rFonts w:ascii="Times New Roman" w:eastAsiaTheme="minorHAnsi" w:hAnsi="Times New Roman"/>
                <w:sz w:val="26"/>
                <w:szCs w:val="26"/>
              </w:rPr>
              <w:t>пления по чл. 172, чл. 352-353е</w:t>
            </w:r>
            <w:r w:rsidRPr="00C4122D">
              <w:rPr>
                <w:rFonts w:ascii="Times New Roman" w:eastAsiaTheme="minorHAnsi" w:hAnsi="Times New Roman"/>
                <w:sz w:val="26"/>
                <w:szCs w:val="26"/>
              </w:rPr>
              <w:t xml:space="preserve"> и чл. 192а от Наказателния кодекс. Липсата на осъждания за престъпления по чл. 172 и чл. 352-353е от Наказателния кодекс се декларират в раздел В на ЕЕДОП, а липсата на осъждания за престъпления по чл.</w:t>
            </w:r>
            <w:r w:rsidRPr="007F6172">
              <w:rPr>
                <w:rFonts w:ascii="Calibri" w:eastAsia="Calibri" w:hAnsi="Calibri"/>
                <w:sz w:val="22"/>
                <w:szCs w:val="22"/>
              </w:rPr>
              <w:t xml:space="preserve"> </w:t>
            </w:r>
            <w:r w:rsidRPr="00C4122D">
              <w:rPr>
                <w:rFonts w:ascii="Times New Roman" w:eastAsiaTheme="minorHAnsi" w:hAnsi="Times New Roman"/>
                <w:sz w:val="26"/>
                <w:szCs w:val="26"/>
              </w:rPr>
              <w:t>192а от Наказателния кодекс се</w:t>
            </w:r>
            <w:r w:rsidR="002A1D3B">
              <w:rPr>
                <w:rFonts w:ascii="Times New Roman" w:eastAsiaTheme="minorHAnsi" w:hAnsi="Times New Roman"/>
                <w:sz w:val="26"/>
                <w:szCs w:val="26"/>
              </w:rPr>
              <w:t xml:space="preserve"> декларират в раздел А от ЕЕДОП</w:t>
            </w:r>
            <w:r w:rsidR="002A1D3B">
              <w:rPr>
                <w:rFonts w:ascii="Times New Roman" w:eastAsiaTheme="minorHAnsi" w:hAnsi="Times New Roman"/>
                <w:sz w:val="26"/>
                <w:szCs w:val="26"/>
                <w:lang w:val="en-US"/>
              </w:rPr>
              <w:t>.</w:t>
            </w:r>
          </w:p>
          <w:p w14:paraId="446D6BA6" w14:textId="13EC7583" w:rsidR="00E54A70" w:rsidRPr="00466DD6" w:rsidRDefault="00E54A70" w:rsidP="002A1D3B">
            <w:pPr>
              <w:tabs>
                <w:tab w:val="left" w:pos="380"/>
              </w:tabs>
              <w:spacing w:after="0" w:line="240" w:lineRule="auto"/>
              <w:ind w:firstLine="740"/>
              <w:textAlignment w:val="center"/>
              <w:rPr>
                <w:rFonts w:ascii="Times New Roman" w:eastAsiaTheme="minorHAnsi" w:hAnsi="Times New Roman"/>
                <w:sz w:val="26"/>
                <w:szCs w:val="26"/>
              </w:rPr>
            </w:pPr>
            <w:r w:rsidRPr="007F6172">
              <w:rPr>
                <w:rFonts w:ascii="Times New Roman" w:eastAsiaTheme="minorHAnsi" w:hAnsi="Times New Roman"/>
                <w:sz w:val="26"/>
                <w:szCs w:val="26"/>
              </w:rPr>
              <w:t xml:space="preserve">По отношение на националните основания за отстраняване вж. отговор на въпрос № 12 от рубриката „Въпроси и отговори“, раздел „Законодателство и методология“ от страницата на АОП, на интернет адрес:  </w:t>
            </w:r>
            <w:hyperlink r:id="rId8" w:history="1">
              <w:r w:rsidRPr="002426E2">
                <w:rPr>
                  <w:rStyle w:val="Hyperlink"/>
                  <w:rFonts w:ascii="Times New Roman" w:eastAsiaTheme="minorHAnsi" w:hAnsi="Times New Roman"/>
                  <w:sz w:val="26"/>
                  <w:szCs w:val="26"/>
                  <w:lang w:val="en-US"/>
                </w:rPr>
                <w:t>https</w:t>
              </w:r>
              <w:r w:rsidRPr="007F6172">
                <w:rPr>
                  <w:rStyle w:val="Hyperlink"/>
                  <w:rFonts w:ascii="Times New Roman" w:eastAsiaTheme="minorHAnsi" w:hAnsi="Times New Roman"/>
                  <w:sz w:val="26"/>
                  <w:szCs w:val="26"/>
                </w:rPr>
                <w:t>://</w:t>
              </w:r>
              <w:r w:rsidRPr="002426E2">
                <w:rPr>
                  <w:rStyle w:val="Hyperlink"/>
                  <w:rFonts w:ascii="Times New Roman" w:eastAsiaTheme="minorHAnsi" w:hAnsi="Times New Roman"/>
                  <w:sz w:val="26"/>
                  <w:szCs w:val="26"/>
                  <w:lang w:val="en-US"/>
                </w:rPr>
                <w:t>www</w:t>
              </w:r>
              <w:r w:rsidRPr="007F6172">
                <w:rPr>
                  <w:rStyle w:val="Hyperlink"/>
                  <w:rFonts w:ascii="Times New Roman" w:eastAsiaTheme="minorHAnsi" w:hAnsi="Times New Roman"/>
                  <w:sz w:val="26"/>
                  <w:szCs w:val="26"/>
                </w:rPr>
                <w:t>2.</w:t>
              </w:r>
              <w:proofErr w:type="spellStart"/>
              <w:r w:rsidRPr="002426E2">
                <w:rPr>
                  <w:rStyle w:val="Hyperlink"/>
                  <w:rFonts w:ascii="Times New Roman" w:eastAsiaTheme="minorHAnsi" w:hAnsi="Times New Roman"/>
                  <w:sz w:val="26"/>
                  <w:szCs w:val="26"/>
                  <w:lang w:val="en-US"/>
                </w:rPr>
                <w:t>aop</w:t>
              </w:r>
              <w:proofErr w:type="spellEnd"/>
              <w:r w:rsidRPr="007F6172">
                <w:rPr>
                  <w:rStyle w:val="Hyperlink"/>
                  <w:rFonts w:ascii="Times New Roman" w:eastAsiaTheme="minorHAnsi" w:hAnsi="Times New Roman"/>
                  <w:sz w:val="26"/>
                  <w:szCs w:val="26"/>
                </w:rPr>
                <w:t>.</w:t>
              </w:r>
              <w:proofErr w:type="spellStart"/>
              <w:r w:rsidRPr="002426E2">
                <w:rPr>
                  <w:rStyle w:val="Hyperlink"/>
                  <w:rFonts w:ascii="Times New Roman" w:eastAsiaTheme="minorHAnsi" w:hAnsi="Times New Roman"/>
                  <w:sz w:val="26"/>
                  <w:szCs w:val="26"/>
                  <w:lang w:val="en-US"/>
                </w:rPr>
                <w:t>bg</w:t>
              </w:r>
              <w:proofErr w:type="spellEnd"/>
              <w:r w:rsidRPr="007F6172">
                <w:rPr>
                  <w:rStyle w:val="Hyperlink"/>
                  <w:rFonts w:ascii="Times New Roman" w:eastAsiaTheme="minorHAnsi" w:hAnsi="Times New Roman"/>
                  <w:sz w:val="26"/>
                  <w:szCs w:val="26"/>
                </w:rPr>
                <w:t>/</w:t>
              </w:r>
              <w:proofErr w:type="spellStart"/>
              <w:r w:rsidRPr="002426E2">
                <w:rPr>
                  <w:rStyle w:val="Hyperlink"/>
                  <w:rFonts w:ascii="Times New Roman" w:eastAsiaTheme="minorHAnsi" w:hAnsi="Times New Roman"/>
                  <w:sz w:val="26"/>
                  <w:szCs w:val="26"/>
                  <w:lang w:val="en-US"/>
                </w:rPr>
                <w:t>metodologiya</w:t>
              </w:r>
              <w:proofErr w:type="spellEnd"/>
              <w:r w:rsidRPr="007F6172">
                <w:rPr>
                  <w:rStyle w:val="Hyperlink"/>
                  <w:rFonts w:ascii="Times New Roman" w:eastAsiaTheme="minorHAnsi" w:hAnsi="Times New Roman"/>
                  <w:sz w:val="26"/>
                  <w:szCs w:val="26"/>
                </w:rPr>
                <w:t>/</w:t>
              </w:r>
              <w:proofErr w:type="spellStart"/>
              <w:r w:rsidRPr="002426E2">
                <w:rPr>
                  <w:rStyle w:val="Hyperlink"/>
                  <w:rFonts w:ascii="Times New Roman" w:eastAsiaTheme="minorHAnsi" w:hAnsi="Times New Roman"/>
                  <w:sz w:val="26"/>
                  <w:szCs w:val="26"/>
                  <w:lang w:val="en-US"/>
                </w:rPr>
                <w:t>vyprosi</w:t>
              </w:r>
              <w:proofErr w:type="spellEnd"/>
              <w:r w:rsidRPr="007F6172">
                <w:rPr>
                  <w:rStyle w:val="Hyperlink"/>
                  <w:rFonts w:ascii="Times New Roman" w:eastAsiaTheme="minorHAnsi" w:hAnsi="Times New Roman"/>
                  <w:sz w:val="26"/>
                  <w:szCs w:val="26"/>
                </w:rPr>
                <w:t>-</w:t>
              </w:r>
              <w:r w:rsidRPr="002426E2">
                <w:rPr>
                  <w:rStyle w:val="Hyperlink"/>
                  <w:rFonts w:ascii="Times New Roman" w:eastAsiaTheme="minorHAnsi" w:hAnsi="Times New Roman"/>
                  <w:sz w:val="26"/>
                  <w:szCs w:val="26"/>
                  <w:lang w:val="en-US"/>
                </w:rPr>
                <w:t>i</w:t>
              </w:r>
              <w:r w:rsidRPr="007F6172">
                <w:rPr>
                  <w:rStyle w:val="Hyperlink"/>
                  <w:rFonts w:ascii="Times New Roman" w:eastAsiaTheme="minorHAnsi" w:hAnsi="Times New Roman"/>
                  <w:sz w:val="26"/>
                  <w:szCs w:val="26"/>
                </w:rPr>
                <w:t>-</w:t>
              </w:r>
              <w:proofErr w:type="spellStart"/>
              <w:r w:rsidRPr="002426E2">
                <w:rPr>
                  <w:rStyle w:val="Hyperlink"/>
                  <w:rFonts w:ascii="Times New Roman" w:eastAsiaTheme="minorHAnsi" w:hAnsi="Times New Roman"/>
                  <w:sz w:val="26"/>
                  <w:szCs w:val="26"/>
                  <w:lang w:val="en-US"/>
                </w:rPr>
                <w:t>otgovori</w:t>
              </w:r>
              <w:proofErr w:type="spellEnd"/>
              <w:r w:rsidRPr="007F6172">
                <w:rPr>
                  <w:rStyle w:val="Hyperlink"/>
                  <w:rFonts w:ascii="Times New Roman" w:eastAsiaTheme="minorHAnsi" w:hAnsi="Times New Roman"/>
                  <w:sz w:val="26"/>
                  <w:szCs w:val="26"/>
                </w:rPr>
                <w:t>/</w:t>
              </w:r>
            </w:hyperlink>
            <w:r w:rsidRPr="007F6172">
              <w:rPr>
                <w:rFonts w:ascii="Times New Roman" w:eastAsiaTheme="minorHAnsi" w:hAnsi="Times New Roman"/>
                <w:sz w:val="26"/>
                <w:szCs w:val="26"/>
              </w:rPr>
              <w:t>.</w:t>
            </w:r>
          </w:p>
        </w:tc>
      </w:tr>
    </w:tbl>
    <w:p w14:paraId="45F65733" w14:textId="77777777" w:rsidR="00EA1CCC" w:rsidRPr="00931E02" w:rsidRDefault="00EA1CCC" w:rsidP="00EA1CCC">
      <w:pPr>
        <w:spacing w:after="0" w:line="240" w:lineRule="auto"/>
        <w:ind w:firstLine="0"/>
        <w:jc w:val="left"/>
        <w:rPr>
          <w:rFonts w:ascii="Times New Roman" w:hAnsi="Times New Roman"/>
          <w:szCs w:val="24"/>
          <w:lang w:val="en-US" w:eastAsia="bg-BG"/>
        </w:rPr>
      </w:pPr>
    </w:p>
    <w:p w14:paraId="167C1E8A" w14:textId="7164E07A" w:rsidR="00EA1CCC" w:rsidRPr="00057018" w:rsidRDefault="009F27EC" w:rsidP="00EA1CCC">
      <w:pPr>
        <w:tabs>
          <w:tab w:val="left" w:pos="1440"/>
        </w:tabs>
        <w:spacing w:after="0" w:line="240" w:lineRule="auto"/>
        <w:ind w:firstLine="0"/>
        <w:rPr>
          <w:rFonts w:ascii="Times New Roman" w:hAnsi="Times New Roman"/>
          <w:b/>
          <w:szCs w:val="24"/>
          <w:lang w:eastAsia="bg-BG"/>
        </w:rPr>
      </w:pPr>
      <w:r w:rsidRPr="00EE15DC">
        <w:rPr>
          <w:rFonts w:ascii="Times New Roman" w:hAnsi="Times New Roman"/>
          <w:b/>
        </w:rPr>
        <w:t>Проект на</w:t>
      </w:r>
      <w:r w:rsidRPr="00EE15DC">
        <w:rPr>
          <w:rFonts w:ascii="Times New Roman" w:hAnsi="Times New Roman"/>
          <w:b/>
          <w:szCs w:val="24"/>
          <w:lang w:eastAsia="bg-BG"/>
        </w:rPr>
        <w:t xml:space="preserve"> т</w:t>
      </w:r>
      <w:r w:rsidR="00EA1CCC" w:rsidRPr="00EE15DC">
        <w:rPr>
          <w:rFonts w:ascii="Times New Roman" w:hAnsi="Times New Roman"/>
          <w:b/>
          <w:szCs w:val="24"/>
          <w:lang w:eastAsia="bg-BG"/>
        </w:rPr>
        <w:t>ехническа спецификация</w:t>
      </w:r>
      <w:r w:rsidR="00C5718B">
        <w:rPr>
          <w:rFonts w:ascii="Times New Roman" w:hAnsi="Times New Roman"/>
          <w:b/>
          <w:szCs w:val="24"/>
          <w:lang w:eastAsia="bg-BG"/>
        </w:rPr>
        <w:t xml:space="preserve"> </w:t>
      </w:r>
    </w:p>
    <w:p w14:paraId="32AC53E6" w14:textId="77777777" w:rsidR="00EE15DC" w:rsidRPr="00057018" w:rsidRDefault="00EE15D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180"/>
      </w:tblGrid>
      <w:tr w:rsidR="00A878CD" w:rsidRPr="00EE15DC" w14:paraId="2DFD4D51" w14:textId="77777777" w:rsidTr="00660EE6">
        <w:trPr>
          <w:trHeight w:val="354"/>
        </w:trPr>
        <w:tc>
          <w:tcPr>
            <w:tcW w:w="9180" w:type="dxa"/>
            <w:tcBorders>
              <w:top w:val="single" w:sz="12" w:space="0" w:color="auto"/>
              <w:left w:val="single" w:sz="12" w:space="0" w:color="auto"/>
              <w:bottom w:val="single" w:sz="4" w:space="0" w:color="auto"/>
              <w:right w:val="single" w:sz="12" w:space="0" w:color="auto"/>
            </w:tcBorders>
            <w:vAlign w:val="center"/>
          </w:tcPr>
          <w:p w14:paraId="00B35743" w14:textId="77777777" w:rsidR="00A878CD" w:rsidRPr="00EA1CCC" w:rsidRDefault="00A878CD" w:rsidP="00A878CD">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59A2130F" w14:textId="78DD95DD" w:rsidR="00A878CD" w:rsidRPr="00BD1C19" w:rsidRDefault="009B702A" w:rsidP="00BD1C19">
            <w:pPr>
              <w:tabs>
                <w:tab w:val="left" w:pos="359"/>
                <w:tab w:val="left" w:pos="5983"/>
                <w:tab w:val="left" w:pos="7123"/>
                <w:tab w:val="right" w:pos="9360"/>
              </w:tabs>
              <w:spacing w:after="0" w:line="240" w:lineRule="auto"/>
              <w:ind w:firstLine="922"/>
              <w:jc w:val="left"/>
              <w:rPr>
                <w:rFonts w:ascii="Times New Roman" w:hAnsi="Times New Roman"/>
                <w:sz w:val="26"/>
                <w:szCs w:val="26"/>
                <w:lang w:eastAsia="bg-BG"/>
              </w:rPr>
            </w:pPr>
            <w:r w:rsidRPr="00BD1C19">
              <w:rPr>
                <w:rFonts w:ascii="Times New Roman" w:hAnsi="Times New Roman"/>
                <w:sz w:val="26"/>
                <w:szCs w:val="26"/>
                <w:lang w:eastAsia="bg-BG"/>
              </w:rPr>
              <w:t xml:space="preserve">1. </w:t>
            </w:r>
            <w:bookmarkStart w:id="3" w:name="_Hlk26877347"/>
            <w:r w:rsidR="00BD1C19" w:rsidRPr="00BD1C19">
              <w:rPr>
                <w:rFonts w:ascii="Times New Roman" w:hAnsi="Times New Roman"/>
                <w:sz w:val="26"/>
                <w:szCs w:val="26"/>
                <w:lang w:eastAsia="bg-BG"/>
              </w:rPr>
              <w:t xml:space="preserve">В </w:t>
            </w:r>
            <w:r w:rsidR="00E37288" w:rsidRPr="00BD1C19">
              <w:rPr>
                <w:rFonts w:ascii="Times New Roman" w:hAnsi="Times New Roman"/>
                <w:sz w:val="26"/>
                <w:szCs w:val="26"/>
                <w:lang w:eastAsia="bg-BG"/>
              </w:rPr>
              <w:t>проекта на техническа спецификация</w:t>
            </w:r>
            <w:r w:rsidR="00BD1C19" w:rsidRPr="00BD1C19">
              <w:rPr>
                <w:rFonts w:ascii="Times New Roman" w:hAnsi="Times New Roman"/>
                <w:sz w:val="26"/>
                <w:szCs w:val="26"/>
              </w:rPr>
              <w:t>, н</w:t>
            </w:r>
            <w:r w:rsidR="00BD1C19" w:rsidRPr="00BD1C19">
              <w:rPr>
                <w:rFonts w:ascii="Times New Roman" w:hAnsi="Times New Roman"/>
                <w:sz w:val="26"/>
                <w:szCs w:val="26"/>
                <w:lang w:eastAsia="bg-BG"/>
              </w:rPr>
              <w:t xml:space="preserve">а стр. 8, </w:t>
            </w:r>
            <w:r w:rsidR="00E37288" w:rsidRPr="00BD1C19">
              <w:rPr>
                <w:rFonts w:ascii="Times New Roman" w:hAnsi="Times New Roman"/>
                <w:sz w:val="26"/>
                <w:szCs w:val="26"/>
                <w:lang w:eastAsia="bg-BG"/>
              </w:rPr>
              <w:t xml:space="preserve"> е посочен стандарт</w:t>
            </w:r>
            <w:r w:rsidR="00B04551" w:rsidRPr="00BD1C19">
              <w:rPr>
                <w:rFonts w:ascii="Times New Roman" w:hAnsi="Times New Roman"/>
                <w:sz w:val="26"/>
                <w:szCs w:val="26"/>
                <w:lang w:eastAsia="bg-BG"/>
              </w:rPr>
              <w:t xml:space="preserve"> БДС </w:t>
            </w:r>
            <w:r w:rsidR="00B04551" w:rsidRPr="00BD1C19">
              <w:rPr>
                <w:rFonts w:ascii="Times New Roman" w:hAnsi="Times New Roman"/>
                <w:sz w:val="26"/>
                <w:szCs w:val="26"/>
                <w:lang w:val="en-US" w:eastAsia="bg-BG"/>
              </w:rPr>
              <w:t>EN</w:t>
            </w:r>
            <w:r w:rsidR="00B04551" w:rsidRPr="007F6172">
              <w:rPr>
                <w:rFonts w:ascii="Times New Roman" w:hAnsi="Times New Roman"/>
                <w:sz w:val="26"/>
                <w:szCs w:val="26"/>
                <w:lang w:eastAsia="bg-BG"/>
              </w:rPr>
              <w:t xml:space="preserve"> </w:t>
            </w:r>
            <w:r w:rsidR="00B04551" w:rsidRPr="00BD1C19">
              <w:rPr>
                <w:rFonts w:ascii="Times New Roman" w:hAnsi="Times New Roman"/>
                <w:sz w:val="26"/>
                <w:szCs w:val="26"/>
                <w:lang w:eastAsia="bg-BG"/>
              </w:rPr>
              <w:t>ISO</w:t>
            </w:r>
            <w:r w:rsidR="00B04551" w:rsidRPr="007F6172">
              <w:rPr>
                <w:rFonts w:ascii="Times New Roman" w:hAnsi="Times New Roman"/>
                <w:sz w:val="26"/>
                <w:szCs w:val="26"/>
                <w:lang w:eastAsia="bg-BG"/>
              </w:rPr>
              <w:t>/</w:t>
            </w:r>
            <w:r w:rsidR="00B04551" w:rsidRPr="00BD1C19">
              <w:rPr>
                <w:rFonts w:ascii="Times New Roman" w:hAnsi="Times New Roman"/>
                <w:sz w:val="26"/>
                <w:szCs w:val="26"/>
                <w:lang w:val="en-US" w:eastAsia="bg-BG"/>
              </w:rPr>
              <w:t>IEC</w:t>
            </w:r>
            <w:r w:rsidR="00B04551" w:rsidRPr="007F6172">
              <w:rPr>
                <w:rFonts w:ascii="Times New Roman" w:hAnsi="Times New Roman"/>
                <w:sz w:val="26"/>
                <w:szCs w:val="26"/>
                <w:lang w:eastAsia="bg-BG"/>
              </w:rPr>
              <w:t xml:space="preserve"> 17020</w:t>
            </w:r>
            <w:r w:rsidR="00B04551" w:rsidRPr="00BD1C19">
              <w:rPr>
                <w:rFonts w:ascii="Times New Roman" w:hAnsi="Times New Roman"/>
                <w:sz w:val="26"/>
                <w:szCs w:val="26"/>
                <w:lang w:eastAsia="bg-BG"/>
              </w:rPr>
              <w:t>:2012</w:t>
            </w:r>
            <w:r w:rsidR="00E37288" w:rsidRPr="00BD1C19">
              <w:rPr>
                <w:rFonts w:ascii="Times New Roman" w:hAnsi="Times New Roman"/>
                <w:sz w:val="26"/>
                <w:szCs w:val="26"/>
                <w:lang w:eastAsia="bg-BG"/>
              </w:rPr>
              <w:t>, ко</w:t>
            </w:r>
            <w:r w:rsidR="00B04551" w:rsidRPr="00BD1C19">
              <w:rPr>
                <w:rFonts w:ascii="Times New Roman" w:hAnsi="Times New Roman"/>
                <w:sz w:val="26"/>
                <w:szCs w:val="26"/>
                <w:lang w:eastAsia="bg-BG"/>
              </w:rPr>
              <w:t>й</w:t>
            </w:r>
            <w:r w:rsidR="00E37288" w:rsidRPr="00BD1C19">
              <w:rPr>
                <w:rFonts w:ascii="Times New Roman" w:hAnsi="Times New Roman"/>
                <w:sz w:val="26"/>
                <w:szCs w:val="26"/>
                <w:lang w:eastAsia="bg-BG"/>
              </w:rPr>
              <w:t>то не е допълнен</w:t>
            </w:r>
            <w:r w:rsidR="00B04551" w:rsidRPr="00BD1C19">
              <w:rPr>
                <w:rFonts w:ascii="Times New Roman" w:hAnsi="Times New Roman"/>
                <w:sz w:val="26"/>
                <w:szCs w:val="26"/>
                <w:lang w:eastAsia="bg-BG"/>
              </w:rPr>
              <w:t xml:space="preserve"> с думите "или еквивалентно</w:t>
            </w:r>
            <w:r w:rsidR="00E37288" w:rsidRPr="00BD1C19">
              <w:rPr>
                <w:rFonts w:ascii="Times New Roman" w:hAnsi="Times New Roman"/>
                <w:sz w:val="26"/>
                <w:szCs w:val="26"/>
                <w:lang w:eastAsia="bg-BG"/>
              </w:rPr>
              <w:t>". Препоръчваме допълване на текста съобразно изискванията на чл. 48, ал. 2 ЗОП.</w:t>
            </w:r>
          </w:p>
          <w:bookmarkEnd w:id="3"/>
          <w:p w14:paraId="4FFBDD87" w14:textId="5E249FEF" w:rsidR="00BD1C19" w:rsidRPr="00BD1C19" w:rsidRDefault="009B702A" w:rsidP="00BD1C19">
            <w:pPr>
              <w:tabs>
                <w:tab w:val="left" w:pos="359"/>
                <w:tab w:val="left" w:pos="5983"/>
                <w:tab w:val="left" w:pos="7123"/>
                <w:tab w:val="right" w:pos="9360"/>
              </w:tabs>
              <w:spacing w:after="0" w:line="240" w:lineRule="auto"/>
              <w:ind w:firstLine="922"/>
              <w:rPr>
                <w:rFonts w:ascii="Times New Roman" w:hAnsi="Times New Roman"/>
                <w:sz w:val="26"/>
                <w:szCs w:val="26"/>
                <w:lang w:eastAsia="bg-BG"/>
              </w:rPr>
            </w:pPr>
            <w:r w:rsidRPr="00BD1C19">
              <w:rPr>
                <w:rFonts w:ascii="Times New Roman" w:hAnsi="Times New Roman"/>
                <w:sz w:val="26"/>
                <w:szCs w:val="26"/>
                <w:lang w:eastAsia="bg-BG"/>
              </w:rPr>
              <w:t>2.</w:t>
            </w:r>
            <w:r w:rsidR="00BD1C19" w:rsidRPr="00BD1C19">
              <w:rPr>
                <w:rFonts w:ascii="Times New Roman" w:hAnsi="Times New Roman"/>
                <w:sz w:val="26"/>
                <w:szCs w:val="26"/>
                <w:lang w:eastAsia="bg-BG"/>
              </w:rPr>
              <w:t xml:space="preserve"> </w:t>
            </w:r>
            <w:r w:rsidR="00BD1C19">
              <w:rPr>
                <w:rFonts w:ascii="Times New Roman" w:hAnsi="Times New Roman"/>
                <w:sz w:val="26"/>
                <w:szCs w:val="26"/>
                <w:lang w:eastAsia="bg-BG"/>
              </w:rPr>
              <w:t>В</w:t>
            </w:r>
            <w:r w:rsidR="00BD1C19" w:rsidRPr="00BD1C19">
              <w:rPr>
                <w:rFonts w:ascii="Times New Roman" w:hAnsi="Times New Roman"/>
                <w:sz w:val="26"/>
                <w:szCs w:val="26"/>
                <w:lang w:eastAsia="bg-BG"/>
              </w:rPr>
              <w:t xml:space="preserve"> текста на техническата спецификация се установи, че са заложени следните изисквания: </w:t>
            </w:r>
          </w:p>
          <w:p w14:paraId="0763E67F" w14:textId="5C1FE387" w:rsidR="00BD1C19" w:rsidRPr="00BD1C19" w:rsidRDefault="00BD1C19" w:rsidP="00BD1C19">
            <w:pPr>
              <w:tabs>
                <w:tab w:val="left" w:pos="359"/>
                <w:tab w:val="left" w:pos="5983"/>
                <w:tab w:val="left" w:pos="7123"/>
                <w:tab w:val="right" w:pos="9360"/>
              </w:tabs>
              <w:spacing w:after="0" w:line="240" w:lineRule="auto"/>
              <w:ind w:firstLine="922"/>
              <w:rPr>
                <w:rFonts w:ascii="Times New Roman" w:hAnsi="Times New Roman"/>
                <w:sz w:val="26"/>
                <w:szCs w:val="26"/>
                <w:lang w:eastAsia="bg-BG"/>
              </w:rPr>
            </w:pPr>
            <w:bookmarkStart w:id="4" w:name="_Hlk26878762"/>
            <w:r w:rsidRPr="00BD1C19">
              <w:rPr>
                <w:rFonts w:ascii="Times New Roman" w:hAnsi="Times New Roman"/>
                <w:sz w:val="26"/>
                <w:szCs w:val="26"/>
                <w:lang w:eastAsia="bg-BG"/>
              </w:rPr>
              <w:t>- техниците да имат опит минимум 3 години по извършване на ремонт и пренавиване на ел. двигатели</w:t>
            </w:r>
            <w:r w:rsidRPr="00BD1C19">
              <w:rPr>
                <w:rFonts w:ascii="Times New Roman" w:hAnsi="Times New Roman"/>
                <w:sz w:val="26"/>
                <w:szCs w:val="26"/>
              </w:rPr>
              <w:t xml:space="preserve"> </w:t>
            </w:r>
            <w:bookmarkEnd w:id="4"/>
            <w:r w:rsidRPr="007F6172">
              <w:rPr>
                <w:rFonts w:ascii="Times New Roman" w:hAnsi="Times New Roman"/>
                <w:sz w:val="26"/>
                <w:szCs w:val="26"/>
              </w:rPr>
              <w:t>(</w:t>
            </w:r>
            <w:r w:rsidRPr="00BD1C19">
              <w:rPr>
                <w:rFonts w:ascii="Times New Roman" w:hAnsi="Times New Roman"/>
                <w:sz w:val="26"/>
                <w:szCs w:val="26"/>
                <w:lang w:eastAsia="bg-BG"/>
              </w:rPr>
              <w:t>т. 2, на стр. 8</w:t>
            </w:r>
            <w:r w:rsidRPr="007F6172">
              <w:rPr>
                <w:rFonts w:ascii="Times New Roman" w:hAnsi="Times New Roman"/>
                <w:sz w:val="26"/>
                <w:szCs w:val="26"/>
                <w:lang w:eastAsia="bg-BG"/>
              </w:rPr>
              <w:t>)</w:t>
            </w:r>
            <w:r w:rsidRPr="00BD1C19">
              <w:rPr>
                <w:rFonts w:ascii="Times New Roman" w:hAnsi="Times New Roman"/>
                <w:sz w:val="26"/>
                <w:szCs w:val="26"/>
                <w:lang w:eastAsia="bg-BG"/>
              </w:rPr>
              <w:t>;</w:t>
            </w:r>
          </w:p>
          <w:p w14:paraId="489190B3" w14:textId="7FAB621A" w:rsidR="00BD1C19" w:rsidRPr="00BD1C19" w:rsidRDefault="00BD1C19" w:rsidP="00BD1C19">
            <w:pPr>
              <w:tabs>
                <w:tab w:val="left" w:pos="359"/>
                <w:tab w:val="left" w:pos="5983"/>
                <w:tab w:val="left" w:pos="7123"/>
                <w:tab w:val="right" w:pos="9360"/>
              </w:tabs>
              <w:spacing w:after="0" w:line="240" w:lineRule="auto"/>
              <w:ind w:firstLine="922"/>
              <w:rPr>
                <w:rFonts w:ascii="Times New Roman" w:hAnsi="Times New Roman"/>
                <w:sz w:val="26"/>
                <w:szCs w:val="26"/>
                <w:lang w:eastAsia="bg-BG"/>
              </w:rPr>
            </w:pPr>
            <w:r w:rsidRPr="00BD1C19">
              <w:rPr>
                <w:rFonts w:ascii="Times New Roman" w:hAnsi="Times New Roman"/>
                <w:sz w:val="26"/>
                <w:szCs w:val="26"/>
                <w:lang w:eastAsia="bg-BG"/>
              </w:rPr>
              <w:t xml:space="preserve">- </w:t>
            </w:r>
            <w:r w:rsidR="00430B00" w:rsidRPr="00BD1C19">
              <w:rPr>
                <w:rFonts w:ascii="Times New Roman" w:hAnsi="Times New Roman"/>
                <w:sz w:val="26"/>
                <w:szCs w:val="26"/>
                <w:lang w:eastAsia="bg-BG"/>
              </w:rPr>
              <w:t xml:space="preserve">„Всички служители на Изпълнителя, които ще изпълняват дейности на територията на </w:t>
            </w:r>
            <w:r w:rsidRPr="00BD1C19">
              <w:rPr>
                <w:rFonts w:ascii="Times New Roman" w:hAnsi="Times New Roman"/>
                <w:sz w:val="26"/>
                <w:szCs w:val="26"/>
                <w:lang w:eastAsia="bg-BG"/>
              </w:rPr>
              <w:t>ТЕЦ Ей и Ес-3С Марица Изток I ЕООД</w:t>
            </w:r>
            <w:r w:rsidR="00430B00" w:rsidRPr="00BD1C19">
              <w:rPr>
                <w:rFonts w:ascii="Times New Roman" w:hAnsi="Times New Roman"/>
                <w:sz w:val="26"/>
                <w:szCs w:val="26"/>
                <w:lang w:eastAsia="bg-BG"/>
              </w:rPr>
              <w:t xml:space="preserve">, трябва да притежават </w:t>
            </w:r>
            <w:r w:rsidRPr="00BD1C19">
              <w:rPr>
                <w:rFonts w:ascii="Times New Roman" w:hAnsi="Times New Roman"/>
                <w:sz w:val="26"/>
                <w:szCs w:val="26"/>
                <w:lang w:eastAsia="bg-BG"/>
              </w:rPr>
              <w:t xml:space="preserve">необходимите </w:t>
            </w:r>
            <w:r w:rsidR="00430B00" w:rsidRPr="00BD1C19">
              <w:rPr>
                <w:rFonts w:ascii="Times New Roman" w:hAnsi="Times New Roman"/>
                <w:sz w:val="26"/>
                <w:szCs w:val="26"/>
                <w:lang w:eastAsia="bg-BG"/>
              </w:rPr>
              <w:t>квалификационни групи според изисквани</w:t>
            </w:r>
            <w:r w:rsidRPr="00BD1C19">
              <w:rPr>
                <w:rFonts w:ascii="Times New Roman" w:hAnsi="Times New Roman"/>
                <w:sz w:val="26"/>
                <w:szCs w:val="26"/>
                <w:lang w:eastAsia="bg-BG"/>
              </w:rPr>
              <w:t>ята на Правилника за безопас</w:t>
            </w:r>
            <w:r w:rsidR="00430B00" w:rsidRPr="00BD1C19">
              <w:rPr>
                <w:rFonts w:ascii="Times New Roman" w:hAnsi="Times New Roman"/>
                <w:sz w:val="26"/>
                <w:szCs w:val="26"/>
                <w:lang w:eastAsia="bg-BG"/>
              </w:rPr>
              <w:t>ност и здраве при работа в електрически уредби на електрически и топлофикационни централи и по електрически мрежи и Правилника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r w:rsidRPr="00BD1C19">
              <w:rPr>
                <w:rFonts w:ascii="Times New Roman" w:hAnsi="Times New Roman"/>
                <w:sz w:val="26"/>
                <w:szCs w:val="26"/>
                <w:lang w:eastAsia="bg-BG"/>
              </w:rPr>
              <w:t xml:space="preserve">, за което да се представи списък на персонала, който ще изпълнява поръчката с посочена професионална компетентност на лицата. </w:t>
            </w:r>
            <w:r w:rsidR="00430B00" w:rsidRPr="00BD1C19">
              <w:rPr>
                <w:rFonts w:ascii="Times New Roman" w:hAnsi="Times New Roman"/>
                <w:sz w:val="26"/>
                <w:szCs w:val="26"/>
                <w:lang w:eastAsia="bg-BG"/>
              </w:rPr>
              <w:t xml:space="preserve">Техническите ръководители, координатори и отговорници на изпълнителя да притежават пета квалификационна група </w:t>
            </w:r>
            <w:r w:rsidRPr="00BD1C19">
              <w:rPr>
                <w:rFonts w:ascii="Times New Roman" w:hAnsi="Times New Roman"/>
                <w:sz w:val="26"/>
                <w:szCs w:val="26"/>
                <w:lang w:eastAsia="bg-BG"/>
              </w:rPr>
              <w:t xml:space="preserve">…..При работа в уредби СН минималните изисквания са </w:t>
            </w:r>
            <w:r w:rsidRPr="00BD1C19">
              <w:rPr>
                <w:rFonts w:ascii="Times New Roman" w:hAnsi="Times New Roman"/>
                <w:sz w:val="26"/>
                <w:szCs w:val="26"/>
                <w:lang w:eastAsia="bg-BG"/>
              </w:rPr>
              <w:lastRenderedPageBreak/>
              <w:t xml:space="preserve">за четвърта квалификационна група. Всички останали служители на изпълнителя да притежават не по-ниска от трета квалификационна група“ </w:t>
            </w:r>
            <w:r w:rsidRPr="007F6172">
              <w:rPr>
                <w:rFonts w:ascii="Times New Roman" w:hAnsi="Times New Roman"/>
                <w:sz w:val="26"/>
                <w:szCs w:val="26"/>
                <w:lang w:eastAsia="bg-BG"/>
              </w:rPr>
              <w:t>(т. 3.2 – „Технически изисквания към лицето определено за изпълнител“)</w:t>
            </w:r>
            <w:r w:rsidRPr="00BD1C19">
              <w:rPr>
                <w:rFonts w:ascii="Times New Roman" w:hAnsi="Times New Roman"/>
                <w:sz w:val="26"/>
                <w:szCs w:val="26"/>
                <w:lang w:eastAsia="bg-BG"/>
              </w:rPr>
              <w:t xml:space="preserve">. </w:t>
            </w:r>
          </w:p>
          <w:p w14:paraId="7B274E8C" w14:textId="5010FE3A" w:rsidR="009B702A" w:rsidRPr="00E37288" w:rsidRDefault="00BD1C19" w:rsidP="002A1D3B">
            <w:pPr>
              <w:tabs>
                <w:tab w:val="left" w:pos="359"/>
                <w:tab w:val="left" w:pos="936"/>
                <w:tab w:val="left" w:pos="5983"/>
                <w:tab w:val="left" w:pos="7123"/>
                <w:tab w:val="right" w:pos="9360"/>
              </w:tabs>
              <w:spacing w:after="0" w:line="240" w:lineRule="auto"/>
              <w:ind w:firstLine="922"/>
              <w:rPr>
                <w:rFonts w:ascii="Times New Roman" w:hAnsi="Times New Roman"/>
                <w:sz w:val="26"/>
                <w:szCs w:val="26"/>
                <w:lang w:eastAsia="bg-BG"/>
              </w:rPr>
            </w:pPr>
            <w:r w:rsidRPr="00BD1C19">
              <w:rPr>
                <w:rFonts w:ascii="Times New Roman" w:hAnsi="Times New Roman"/>
                <w:sz w:val="26"/>
                <w:szCs w:val="26"/>
                <w:lang w:eastAsia="bg-BG"/>
              </w:rPr>
              <w:t>Съгласно чл. 63, ал. 1, т. 5 ЗОП, с посочените изисквания се изследват техническите и професионалните способности на участниците. С оглед на което, препоръчваме пренасяне</w:t>
            </w:r>
            <w:r>
              <w:rPr>
                <w:rFonts w:ascii="Times New Roman" w:hAnsi="Times New Roman"/>
                <w:sz w:val="26"/>
                <w:szCs w:val="26"/>
                <w:lang w:eastAsia="bg-BG"/>
              </w:rPr>
              <w:t xml:space="preserve">то им </w:t>
            </w:r>
            <w:r w:rsidRPr="00BD1C19">
              <w:rPr>
                <w:rFonts w:ascii="Times New Roman" w:hAnsi="Times New Roman"/>
                <w:sz w:val="26"/>
                <w:szCs w:val="26"/>
                <w:lang w:eastAsia="bg-BG"/>
              </w:rPr>
              <w:t xml:space="preserve">в относимото поле – </w:t>
            </w:r>
            <w:r w:rsidRPr="00BD1C19">
              <w:rPr>
                <w:rFonts w:ascii="Times New Roman" w:hAnsi="Times New Roman"/>
                <w:sz w:val="26"/>
                <w:szCs w:val="26"/>
                <w:lang w:val="en-US" w:eastAsia="bg-BG"/>
              </w:rPr>
              <w:t>III</w:t>
            </w:r>
            <w:r w:rsidRPr="00BD1C19">
              <w:rPr>
                <w:rFonts w:ascii="Times New Roman" w:hAnsi="Times New Roman"/>
                <w:sz w:val="26"/>
                <w:szCs w:val="26"/>
                <w:lang w:eastAsia="bg-BG"/>
              </w:rPr>
              <w:t>.</w:t>
            </w:r>
            <w:r w:rsidRPr="007F6172">
              <w:rPr>
                <w:rFonts w:ascii="Times New Roman" w:hAnsi="Times New Roman"/>
                <w:sz w:val="26"/>
                <w:szCs w:val="26"/>
                <w:lang w:eastAsia="bg-BG"/>
              </w:rPr>
              <w:t>1</w:t>
            </w:r>
            <w:r w:rsidRPr="00BD1C19">
              <w:rPr>
                <w:rFonts w:ascii="Times New Roman" w:hAnsi="Times New Roman"/>
                <w:sz w:val="26"/>
                <w:szCs w:val="26"/>
                <w:lang w:eastAsia="bg-BG"/>
              </w:rPr>
              <w:t>.</w:t>
            </w:r>
            <w:r w:rsidRPr="007F6172">
              <w:rPr>
                <w:rFonts w:ascii="Times New Roman" w:hAnsi="Times New Roman"/>
                <w:sz w:val="26"/>
                <w:szCs w:val="26"/>
                <w:lang w:eastAsia="bg-BG"/>
              </w:rPr>
              <w:t>3)</w:t>
            </w:r>
            <w:r w:rsidRPr="00BD1C19">
              <w:rPr>
                <w:rFonts w:ascii="Times New Roman" w:hAnsi="Times New Roman"/>
                <w:sz w:val="26"/>
                <w:szCs w:val="26"/>
                <w:lang w:eastAsia="bg-BG"/>
              </w:rPr>
              <w:t xml:space="preserve"> от проекта на обявление.</w:t>
            </w:r>
          </w:p>
        </w:tc>
      </w:tr>
    </w:tbl>
    <w:p w14:paraId="698BF690" w14:textId="77777777" w:rsidR="00EA1CCC" w:rsidRPr="00EA1CCC" w:rsidRDefault="00EA1CCC" w:rsidP="00EA1CCC">
      <w:pPr>
        <w:keepNext/>
        <w:keepLines/>
        <w:spacing w:after="0" w:line="240" w:lineRule="auto"/>
        <w:ind w:firstLine="0"/>
        <w:jc w:val="left"/>
        <w:outlineLvl w:val="4"/>
        <w:rPr>
          <w:rFonts w:ascii="Times New Roman" w:hAnsi="Times New Roman"/>
          <w:szCs w:val="24"/>
          <w:lang w:eastAsia="bg-BG"/>
        </w:rPr>
      </w:pPr>
    </w:p>
    <w:p w14:paraId="481AACE9"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42683D69"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3408CC06"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EA1CCC" w14:paraId="1F2200A4"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5087C4B7"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039285B6"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0A25B8">
              <w:rPr>
                <w:rFonts w:ascii="Times New Roman" w:hAnsi="Times New Roman"/>
                <w:sz w:val="26"/>
                <w:szCs w:val="26"/>
                <w:lang w:eastAsia="bg-BG"/>
              </w:rPr>
              <w:t>2.</w:t>
            </w:r>
            <w:r w:rsidRPr="000A25B8">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p w14:paraId="272059CE" w14:textId="77777777" w:rsidR="00841C5D" w:rsidRPr="00BC757A"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3.</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767F4E05" w14:textId="77777777" w:rsidR="00B77A5F" w:rsidRPr="00A37511" w:rsidRDefault="00B77A5F" w:rsidP="00B77A5F">
      <w:pPr>
        <w:tabs>
          <w:tab w:val="left" w:pos="1440"/>
        </w:tabs>
        <w:spacing w:before="120" w:after="0" w:line="240" w:lineRule="auto"/>
        <w:ind w:firstLine="0"/>
        <w:jc w:val="left"/>
        <w:rPr>
          <w:rFonts w:ascii="Times New Roman" w:hAnsi="Times New Roman"/>
          <w:szCs w:val="24"/>
          <w:lang w:eastAsia="bg-BG"/>
        </w:rPr>
      </w:pPr>
    </w:p>
    <w:p w14:paraId="0CE109BC" w14:textId="043D3661" w:rsidR="00B77A5F" w:rsidRDefault="00B77A5F" w:rsidP="00B77A5F">
      <w:pPr>
        <w:tabs>
          <w:tab w:val="left" w:pos="1440"/>
        </w:tabs>
        <w:spacing w:before="120" w:after="0" w:line="240" w:lineRule="auto"/>
        <w:ind w:firstLine="0"/>
        <w:jc w:val="left"/>
        <w:rPr>
          <w:rFonts w:ascii="Times New Roman" w:hAnsi="Times New Roman"/>
          <w:szCs w:val="24"/>
          <w:lang w:val="en-US" w:eastAsia="bg-BG"/>
        </w:rPr>
      </w:pPr>
    </w:p>
    <w:p w14:paraId="2C0C91DF" w14:textId="5F64B59B" w:rsidR="002C21CE" w:rsidRDefault="002C21CE" w:rsidP="00B77A5F">
      <w:pPr>
        <w:tabs>
          <w:tab w:val="left" w:pos="1440"/>
        </w:tabs>
        <w:spacing w:before="120" w:after="0" w:line="240" w:lineRule="auto"/>
        <w:ind w:firstLine="0"/>
        <w:jc w:val="left"/>
        <w:rPr>
          <w:rFonts w:ascii="Times New Roman" w:hAnsi="Times New Roman"/>
          <w:szCs w:val="24"/>
          <w:lang w:val="en-US" w:eastAsia="bg-BG"/>
        </w:rPr>
      </w:pPr>
    </w:p>
    <w:p w14:paraId="223FA343" w14:textId="7909C191" w:rsidR="002C21CE" w:rsidRPr="00B13D24" w:rsidRDefault="002C21CE" w:rsidP="002C21CE">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7E6706F2" w14:textId="3AD037E9" w:rsidR="002C21CE" w:rsidRDefault="002C21CE" w:rsidP="002C21CE">
      <w:pPr>
        <w:spacing w:after="0" w:line="240" w:lineRule="auto"/>
        <w:ind w:left="4676"/>
        <w:rPr>
          <w:rFonts w:ascii="Times New Roman" w:hAnsi="Times New Roman"/>
          <w:b/>
          <w:sz w:val="26"/>
          <w:szCs w:val="26"/>
          <w:lang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Доц. д-р МИГЛЕНА ПАВЛОВА</w:t>
      </w:r>
    </w:p>
    <w:p w14:paraId="5182684D" w14:textId="77777777" w:rsidR="002C21CE" w:rsidRPr="00B13D24" w:rsidRDefault="002C21CE" w:rsidP="002C21C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12E82B84" w14:textId="77777777" w:rsidR="002C21CE" w:rsidRPr="00334D5A" w:rsidRDefault="002C21CE" w:rsidP="002C21C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70CC895B" w14:textId="77777777" w:rsidR="002A1D3B" w:rsidRPr="002A1D3B" w:rsidRDefault="002A1D3B" w:rsidP="00B77A5F">
      <w:pPr>
        <w:tabs>
          <w:tab w:val="left" w:pos="1440"/>
        </w:tabs>
        <w:spacing w:before="120" w:after="0" w:line="240" w:lineRule="auto"/>
        <w:ind w:firstLine="0"/>
        <w:jc w:val="left"/>
        <w:rPr>
          <w:rFonts w:ascii="Times New Roman" w:hAnsi="Times New Roman"/>
          <w:szCs w:val="24"/>
          <w:lang w:val="en-US" w:eastAsia="bg-BG"/>
        </w:rPr>
      </w:pPr>
    </w:p>
    <w:p w14:paraId="303F24C6" w14:textId="77777777" w:rsidR="00B77A5F" w:rsidRPr="00A37511" w:rsidRDefault="00B77A5F" w:rsidP="00B77A5F">
      <w:pPr>
        <w:spacing w:after="0" w:line="240" w:lineRule="auto"/>
        <w:ind w:firstLine="0"/>
        <w:jc w:val="left"/>
        <w:rPr>
          <w:rFonts w:ascii="Times New Roman" w:hAnsi="Times New Roman"/>
          <w:szCs w:val="24"/>
        </w:rPr>
      </w:pPr>
    </w:p>
    <w:p w14:paraId="06125788" w14:textId="77777777" w:rsidR="00E23ACA" w:rsidRPr="0024407D" w:rsidRDefault="00E23ACA" w:rsidP="00B77A5F">
      <w:pPr>
        <w:spacing w:after="0" w:line="240" w:lineRule="auto"/>
        <w:ind w:firstLine="0"/>
        <w:jc w:val="left"/>
        <w:rPr>
          <w:rFonts w:ascii="Times New Roman" w:hAnsi="Times New Roman"/>
          <w:szCs w:val="24"/>
          <w:lang w:eastAsia="bg-BG"/>
        </w:rPr>
      </w:pPr>
    </w:p>
    <w:sectPr w:rsidR="00E23ACA" w:rsidRPr="0024407D" w:rsidSect="009D1F80">
      <w:footerReference w:type="default" r:id="rId9"/>
      <w:headerReference w:type="first" r:id="rId10"/>
      <w:footerReference w:type="first" r:id="rId11"/>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FC75" w14:textId="77777777" w:rsidR="00C165FB" w:rsidRDefault="00C165FB">
      <w:r>
        <w:separator/>
      </w:r>
    </w:p>
  </w:endnote>
  <w:endnote w:type="continuationSeparator" w:id="0">
    <w:p w14:paraId="057BB3B5" w14:textId="77777777" w:rsidR="00C165FB" w:rsidRDefault="00C165FB">
      <w:r>
        <w:continuationSeparator/>
      </w:r>
    </w:p>
  </w:endnote>
  <w:endnote w:type="continuationNotice" w:id="1">
    <w:p w14:paraId="11DDA752" w14:textId="77777777" w:rsidR="00C165FB" w:rsidRDefault="00C16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65A5" w14:textId="7C45B785" w:rsidR="00C165FB" w:rsidRDefault="00C165FB">
    <w:pPr>
      <w:pStyle w:val="Footer"/>
      <w:jc w:val="right"/>
    </w:pPr>
    <w:r>
      <w:fldChar w:fldCharType="begin"/>
    </w:r>
    <w:r>
      <w:instrText xml:space="preserve"> PAGE   \* MERGEFORMAT </w:instrText>
    </w:r>
    <w:r>
      <w:fldChar w:fldCharType="separate"/>
    </w:r>
    <w:r w:rsidR="002C21CE">
      <w:rPr>
        <w:noProof/>
      </w:rPr>
      <w:t>4</w:t>
    </w:r>
    <w:r>
      <w:rPr>
        <w:noProof/>
      </w:rPr>
      <w:fldChar w:fldCharType="end"/>
    </w:r>
  </w:p>
  <w:p w14:paraId="5814575D" w14:textId="77777777" w:rsidR="00C165FB" w:rsidRDefault="00C1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CB68" w14:textId="77777777" w:rsidR="00C165FB" w:rsidRDefault="00C165FB">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111599E7" wp14:editId="04BDEABE">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68A9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67F01F1C" w14:textId="77777777" w:rsidR="00C165FB" w:rsidRDefault="00C165FB">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01E65635" w14:textId="77777777" w:rsidR="00C165FB" w:rsidRPr="00E7009E" w:rsidRDefault="00C165FB">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7C85EB58" w14:textId="77777777" w:rsidR="00C165FB" w:rsidRDefault="00C165FB">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D625" w14:textId="77777777" w:rsidR="00C165FB" w:rsidRDefault="00C165FB">
      <w:r>
        <w:separator/>
      </w:r>
    </w:p>
  </w:footnote>
  <w:footnote w:type="continuationSeparator" w:id="0">
    <w:p w14:paraId="2DB7DEAC" w14:textId="77777777" w:rsidR="00C165FB" w:rsidRDefault="00C165FB">
      <w:r>
        <w:continuationSeparator/>
      </w:r>
    </w:p>
  </w:footnote>
  <w:footnote w:type="continuationNotice" w:id="1">
    <w:p w14:paraId="76B7F744" w14:textId="77777777" w:rsidR="00C165FB" w:rsidRDefault="00C16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AAAA" w14:textId="77777777" w:rsidR="00C165FB" w:rsidRDefault="00C165FB">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00C840DF" wp14:editId="1D6D623C">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521AB"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085E6C9F" wp14:editId="2979C00E">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D76C"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3EC9A254" wp14:editId="58654C6A">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3ADE" w14:textId="77777777" w:rsidR="00C165FB" w:rsidRPr="008121DC" w:rsidRDefault="00C165FB"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C5600D6" w14:textId="77777777" w:rsidR="00C165FB" w:rsidRPr="008121DC" w:rsidRDefault="00C165FB" w:rsidP="009B5F78">
                          <w:pPr>
                            <w:pStyle w:val="Heading1"/>
                            <w:tabs>
                              <w:tab w:val="center" w:pos="3705"/>
                            </w:tabs>
                            <w:rPr>
                              <w:rFonts w:ascii="Times New Roman" w:hAnsi="Times New Roman"/>
                              <w:sz w:val="28"/>
                              <w:lang w:val="ru-RU"/>
                            </w:rPr>
                          </w:pPr>
                        </w:p>
                        <w:p w14:paraId="2A6ACF56" w14:textId="77777777" w:rsidR="00C165FB" w:rsidRPr="008121DC" w:rsidRDefault="00C165FB"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9A254"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04E33ADE" w14:textId="77777777" w:rsidR="00C165FB" w:rsidRPr="008121DC" w:rsidRDefault="00C165FB"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C5600D6" w14:textId="77777777" w:rsidR="00C165FB" w:rsidRPr="008121DC" w:rsidRDefault="00C165FB" w:rsidP="009B5F78">
                    <w:pPr>
                      <w:pStyle w:val="Heading1"/>
                      <w:tabs>
                        <w:tab w:val="center" w:pos="3705"/>
                      </w:tabs>
                      <w:rPr>
                        <w:rFonts w:ascii="Times New Roman" w:hAnsi="Times New Roman"/>
                        <w:sz w:val="28"/>
                        <w:lang w:val="ru-RU"/>
                      </w:rPr>
                    </w:pPr>
                  </w:p>
                  <w:p w14:paraId="2A6ACF56" w14:textId="77777777" w:rsidR="00C165FB" w:rsidRPr="008121DC" w:rsidRDefault="00C165FB"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41316336" wp14:editId="1EB7ED41">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155AEFB0" w14:textId="77777777" w:rsidR="00C165FB" w:rsidRDefault="00C165FB">
    <w:pPr>
      <w:autoSpaceDE w:val="0"/>
      <w:autoSpaceDN w:val="0"/>
      <w:adjustRightInd w:val="0"/>
      <w:spacing w:before="240" w:after="0" w:line="240" w:lineRule="auto"/>
      <w:ind w:left="-741" w:firstLine="0"/>
      <w:jc w:val="left"/>
      <w:rPr>
        <w:rFonts w:ascii="Times New Roman CYR" w:hAnsi="Times New Roman CYR"/>
        <w:color w:val="000000"/>
        <w:sz w:val="22"/>
      </w:rPr>
    </w:pPr>
  </w:p>
  <w:p w14:paraId="5CA9E1B2" w14:textId="77777777" w:rsidR="00C165FB" w:rsidRPr="004B074C" w:rsidRDefault="00C165FB" w:rsidP="009B5F78">
    <w:pPr>
      <w:autoSpaceDE w:val="0"/>
      <w:autoSpaceDN w:val="0"/>
      <w:adjustRightInd w:val="0"/>
      <w:spacing w:before="240" w:after="0" w:line="240" w:lineRule="auto"/>
      <w:ind w:left="-741" w:firstLine="228"/>
      <w:jc w:val="left"/>
      <w:rPr>
        <w:rFonts w:ascii="Times New Roman CYR" w:hAnsi="Times New Roman CYR"/>
        <w:color w:val="000000"/>
        <w:sz w:val="22"/>
        <w:lang w:val="en-US"/>
      </w:rPr>
    </w:pPr>
    <w:r>
      <w:rPr>
        <w:rFonts w:ascii="Times New Roman CYR" w:hAnsi="Times New Roman CYR"/>
        <w:color w:val="000000"/>
        <w:sz w:val="22"/>
      </w:rPr>
      <w:t>И</w:t>
    </w:r>
    <w:r w:rsidRPr="004C6870">
      <w:rPr>
        <w:rFonts w:ascii="Times New Roman CYR" w:hAnsi="Times New Roman CYR"/>
        <w:color w:val="000000"/>
        <w:sz w:val="22"/>
      </w:rPr>
      <w:t>зх. номер: КСИ-</w:t>
    </w:r>
    <w:r>
      <w:rPr>
        <w:rFonts w:ascii="Times New Roman CYR" w:hAnsi="Times New Roman CYR"/>
        <w:color w:val="000000"/>
        <w:sz w:val="22"/>
        <w:lang w:val="en-US"/>
      </w:rPr>
      <w:t>288</w:t>
    </w:r>
  </w:p>
  <w:p w14:paraId="7C444154" w14:textId="20EB3126" w:rsidR="00C165FB" w:rsidRPr="00660EE6" w:rsidRDefault="00C165FB"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Дата</w:t>
    </w:r>
    <w:r w:rsidR="00660EE6">
      <w:rPr>
        <w:rFonts w:ascii="Times New Roman CYR" w:hAnsi="Times New Roman CYR"/>
        <w:color w:val="000000"/>
        <w:sz w:val="22"/>
        <w:lang w:val="en-US"/>
      </w:rPr>
      <w:t xml:space="preserve">: 05.12.2019 </w:t>
    </w:r>
    <w:r w:rsidR="00660EE6">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9115047"/>
    <w:multiLevelType w:val="hybridMultilevel"/>
    <w:tmpl w:val="C6B6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4"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1"/>
  </w:num>
  <w:num w:numId="3">
    <w:abstractNumId w:val="38"/>
  </w:num>
  <w:num w:numId="4">
    <w:abstractNumId w:val="12"/>
  </w:num>
  <w:num w:numId="5">
    <w:abstractNumId w:val="37"/>
  </w:num>
  <w:num w:numId="6">
    <w:abstractNumId w:val="35"/>
  </w:num>
  <w:num w:numId="7">
    <w:abstractNumId w:val="34"/>
  </w:num>
  <w:num w:numId="8">
    <w:abstractNumId w:val="13"/>
  </w:num>
  <w:num w:numId="9">
    <w:abstractNumId w:val="17"/>
  </w:num>
  <w:num w:numId="10">
    <w:abstractNumId w:val="29"/>
  </w:num>
  <w:num w:numId="11">
    <w:abstractNumId w:val="33"/>
  </w:num>
  <w:num w:numId="12">
    <w:abstractNumId w:val="27"/>
  </w:num>
  <w:num w:numId="13">
    <w:abstractNumId w:val="25"/>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3"/>
  </w:num>
  <w:num w:numId="23">
    <w:abstractNumId w:val="30"/>
  </w:num>
  <w:num w:numId="24">
    <w:abstractNumId w:val="36"/>
  </w:num>
  <w:num w:numId="25">
    <w:abstractNumId w:val="9"/>
  </w:num>
  <w:num w:numId="26">
    <w:abstractNumId w:val="5"/>
  </w:num>
  <w:num w:numId="27">
    <w:abstractNumId w:val="10"/>
  </w:num>
  <w:num w:numId="28">
    <w:abstractNumId w:val="16"/>
  </w:num>
  <w:num w:numId="29">
    <w:abstractNumId w:val="20"/>
  </w:num>
  <w:num w:numId="30">
    <w:abstractNumId w:val="21"/>
  </w:num>
  <w:num w:numId="31">
    <w:abstractNumId w:val="15"/>
  </w:num>
  <w:num w:numId="32">
    <w:abstractNumId w:val="22"/>
  </w:num>
  <w:num w:numId="33">
    <w:abstractNumId w:val="31"/>
  </w:num>
  <w:num w:numId="34">
    <w:abstractNumId w:val="6"/>
  </w:num>
  <w:num w:numId="35">
    <w:abstractNumId w:val="7"/>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0"/>
    <w:rsid w:val="00003968"/>
    <w:rsid w:val="0000465D"/>
    <w:rsid w:val="000069D8"/>
    <w:rsid w:val="00012D5A"/>
    <w:rsid w:val="00024726"/>
    <w:rsid w:val="00032A39"/>
    <w:rsid w:val="00033EA0"/>
    <w:rsid w:val="00054917"/>
    <w:rsid w:val="00057018"/>
    <w:rsid w:val="000825A3"/>
    <w:rsid w:val="000909AE"/>
    <w:rsid w:val="0009771F"/>
    <w:rsid w:val="000A0B30"/>
    <w:rsid w:val="000A2520"/>
    <w:rsid w:val="000A25B8"/>
    <w:rsid w:val="000A7DCB"/>
    <w:rsid w:val="000B02BD"/>
    <w:rsid w:val="000B389E"/>
    <w:rsid w:val="000B7AA0"/>
    <w:rsid w:val="000C3825"/>
    <w:rsid w:val="000C3E95"/>
    <w:rsid w:val="000E1D2D"/>
    <w:rsid w:val="000E5033"/>
    <w:rsid w:val="000E5668"/>
    <w:rsid w:val="000F24BF"/>
    <w:rsid w:val="000F76B3"/>
    <w:rsid w:val="00101C39"/>
    <w:rsid w:val="001020E9"/>
    <w:rsid w:val="001022CA"/>
    <w:rsid w:val="0011143C"/>
    <w:rsid w:val="00131DC6"/>
    <w:rsid w:val="0014098D"/>
    <w:rsid w:val="0014423C"/>
    <w:rsid w:val="001600CC"/>
    <w:rsid w:val="0016255F"/>
    <w:rsid w:val="001660ED"/>
    <w:rsid w:val="001668D5"/>
    <w:rsid w:val="00166BB8"/>
    <w:rsid w:val="001721D0"/>
    <w:rsid w:val="00191A1B"/>
    <w:rsid w:val="00195D78"/>
    <w:rsid w:val="00196778"/>
    <w:rsid w:val="001A1190"/>
    <w:rsid w:val="001A2242"/>
    <w:rsid w:val="001A4F8E"/>
    <w:rsid w:val="001B11A2"/>
    <w:rsid w:val="001B1E30"/>
    <w:rsid w:val="001E12F7"/>
    <w:rsid w:val="001F0708"/>
    <w:rsid w:val="001F7AAC"/>
    <w:rsid w:val="00200C45"/>
    <w:rsid w:val="00210C5E"/>
    <w:rsid w:val="00214193"/>
    <w:rsid w:val="002149AD"/>
    <w:rsid w:val="00227E46"/>
    <w:rsid w:val="00233475"/>
    <w:rsid w:val="00234F33"/>
    <w:rsid w:val="00243EA0"/>
    <w:rsid w:val="0024407D"/>
    <w:rsid w:val="002444C2"/>
    <w:rsid w:val="00247F89"/>
    <w:rsid w:val="00274FC2"/>
    <w:rsid w:val="00275248"/>
    <w:rsid w:val="00285A15"/>
    <w:rsid w:val="00296979"/>
    <w:rsid w:val="00296DA8"/>
    <w:rsid w:val="00296E66"/>
    <w:rsid w:val="002A1D3B"/>
    <w:rsid w:val="002A36B6"/>
    <w:rsid w:val="002A4E10"/>
    <w:rsid w:val="002A5396"/>
    <w:rsid w:val="002B19F8"/>
    <w:rsid w:val="002B599D"/>
    <w:rsid w:val="002B62F9"/>
    <w:rsid w:val="002C21CE"/>
    <w:rsid w:val="002C2C8B"/>
    <w:rsid w:val="002D7497"/>
    <w:rsid w:val="002E0E9B"/>
    <w:rsid w:val="002E15FD"/>
    <w:rsid w:val="002E4560"/>
    <w:rsid w:val="002E68BA"/>
    <w:rsid w:val="002E7D6A"/>
    <w:rsid w:val="002F2405"/>
    <w:rsid w:val="002F5F85"/>
    <w:rsid w:val="002F6D9D"/>
    <w:rsid w:val="003067EB"/>
    <w:rsid w:val="00313832"/>
    <w:rsid w:val="003153EA"/>
    <w:rsid w:val="00324ACA"/>
    <w:rsid w:val="00327BE2"/>
    <w:rsid w:val="00330A26"/>
    <w:rsid w:val="003314C3"/>
    <w:rsid w:val="0033317F"/>
    <w:rsid w:val="0033797B"/>
    <w:rsid w:val="0034058C"/>
    <w:rsid w:val="00347F63"/>
    <w:rsid w:val="00353ECD"/>
    <w:rsid w:val="00374B03"/>
    <w:rsid w:val="00380EF3"/>
    <w:rsid w:val="00393F3E"/>
    <w:rsid w:val="00393F4F"/>
    <w:rsid w:val="00396C99"/>
    <w:rsid w:val="003A587C"/>
    <w:rsid w:val="003C4F9F"/>
    <w:rsid w:val="003E1F7E"/>
    <w:rsid w:val="003E20B3"/>
    <w:rsid w:val="003F2170"/>
    <w:rsid w:val="004065E5"/>
    <w:rsid w:val="00416709"/>
    <w:rsid w:val="00430685"/>
    <w:rsid w:val="00430B00"/>
    <w:rsid w:val="004330DB"/>
    <w:rsid w:val="004442EC"/>
    <w:rsid w:val="0045458E"/>
    <w:rsid w:val="00462767"/>
    <w:rsid w:val="004641AD"/>
    <w:rsid w:val="00466DD6"/>
    <w:rsid w:val="0046774A"/>
    <w:rsid w:val="004771B4"/>
    <w:rsid w:val="004851BB"/>
    <w:rsid w:val="00485DC6"/>
    <w:rsid w:val="004A6915"/>
    <w:rsid w:val="004B074C"/>
    <w:rsid w:val="004B1846"/>
    <w:rsid w:val="004B6D24"/>
    <w:rsid w:val="004C2FAE"/>
    <w:rsid w:val="004C4C32"/>
    <w:rsid w:val="004C6870"/>
    <w:rsid w:val="004D157D"/>
    <w:rsid w:val="004D4E10"/>
    <w:rsid w:val="004E22B8"/>
    <w:rsid w:val="004E4DF9"/>
    <w:rsid w:val="004E6DFF"/>
    <w:rsid w:val="004F16BF"/>
    <w:rsid w:val="004F781E"/>
    <w:rsid w:val="00501B30"/>
    <w:rsid w:val="0050554F"/>
    <w:rsid w:val="00505AC5"/>
    <w:rsid w:val="00506E88"/>
    <w:rsid w:val="0051122A"/>
    <w:rsid w:val="005216B3"/>
    <w:rsid w:val="00527511"/>
    <w:rsid w:val="00544A19"/>
    <w:rsid w:val="00544EE1"/>
    <w:rsid w:val="00545672"/>
    <w:rsid w:val="005473B0"/>
    <w:rsid w:val="00550C75"/>
    <w:rsid w:val="00551EF2"/>
    <w:rsid w:val="0055313F"/>
    <w:rsid w:val="00561017"/>
    <w:rsid w:val="005649A3"/>
    <w:rsid w:val="005655D8"/>
    <w:rsid w:val="00565AFA"/>
    <w:rsid w:val="005728A5"/>
    <w:rsid w:val="00573887"/>
    <w:rsid w:val="00582C6D"/>
    <w:rsid w:val="005846AE"/>
    <w:rsid w:val="00592847"/>
    <w:rsid w:val="00594BBE"/>
    <w:rsid w:val="005A04CF"/>
    <w:rsid w:val="005A13BA"/>
    <w:rsid w:val="005A54AD"/>
    <w:rsid w:val="005A5DAD"/>
    <w:rsid w:val="005C2DBD"/>
    <w:rsid w:val="005C37E1"/>
    <w:rsid w:val="005C5F53"/>
    <w:rsid w:val="005D2E63"/>
    <w:rsid w:val="005E11CA"/>
    <w:rsid w:val="005E441E"/>
    <w:rsid w:val="006107C0"/>
    <w:rsid w:val="00611AF0"/>
    <w:rsid w:val="00612EA8"/>
    <w:rsid w:val="00624F98"/>
    <w:rsid w:val="00635910"/>
    <w:rsid w:val="006434E7"/>
    <w:rsid w:val="00643626"/>
    <w:rsid w:val="00644002"/>
    <w:rsid w:val="006459B2"/>
    <w:rsid w:val="00656E91"/>
    <w:rsid w:val="00660EE6"/>
    <w:rsid w:val="006674AD"/>
    <w:rsid w:val="00667ADB"/>
    <w:rsid w:val="006728FA"/>
    <w:rsid w:val="006739C9"/>
    <w:rsid w:val="00675007"/>
    <w:rsid w:val="006752CB"/>
    <w:rsid w:val="00676DA4"/>
    <w:rsid w:val="00693847"/>
    <w:rsid w:val="006A03A5"/>
    <w:rsid w:val="006A1230"/>
    <w:rsid w:val="006A74D6"/>
    <w:rsid w:val="006B1F45"/>
    <w:rsid w:val="006B4F28"/>
    <w:rsid w:val="006C0872"/>
    <w:rsid w:val="006C56C1"/>
    <w:rsid w:val="006D08A2"/>
    <w:rsid w:val="006D3C4F"/>
    <w:rsid w:val="006E374E"/>
    <w:rsid w:val="006E5FC6"/>
    <w:rsid w:val="006E6AB2"/>
    <w:rsid w:val="006F49FD"/>
    <w:rsid w:val="006F6586"/>
    <w:rsid w:val="00700556"/>
    <w:rsid w:val="007029DD"/>
    <w:rsid w:val="00713A08"/>
    <w:rsid w:val="00720592"/>
    <w:rsid w:val="00720DC8"/>
    <w:rsid w:val="0073111A"/>
    <w:rsid w:val="0073125D"/>
    <w:rsid w:val="00731572"/>
    <w:rsid w:val="007353CF"/>
    <w:rsid w:val="00737908"/>
    <w:rsid w:val="00743D1F"/>
    <w:rsid w:val="00751E76"/>
    <w:rsid w:val="00761BE9"/>
    <w:rsid w:val="00772DB6"/>
    <w:rsid w:val="007731B8"/>
    <w:rsid w:val="007841E5"/>
    <w:rsid w:val="007934D9"/>
    <w:rsid w:val="007957C3"/>
    <w:rsid w:val="00796B58"/>
    <w:rsid w:val="007A0F50"/>
    <w:rsid w:val="007B1D93"/>
    <w:rsid w:val="007B4C09"/>
    <w:rsid w:val="007B519F"/>
    <w:rsid w:val="007C31B5"/>
    <w:rsid w:val="007C724D"/>
    <w:rsid w:val="007D1072"/>
    <w:rsid w:val="007E7570"/>
    <w:rsid w:val="007F6172"/>
    <w:rsid w:val="00803017"/>
    <w:rsid w:val="008121DC"/>
    <w:rsid w:val="008153B8"/>
    <w:rsid w:val="00831392"/>
    <w:rsid w:val="0083196E"/>
    <w:rsid w:val="008319CD"/>
    <w:rsid w:val="00833F9A"/>
    <w:rsid w:val="00841C5D"/>
    <w:rsid w:val="00847F9A"/>
    <w:rsid w:val="00851D24"/>
    <w:rsid w:val="00886464"/>
    <w:rsid w:val="00893DB5"/>
    <w:rsid w:val="008A0935"/>
    <w:rsid w:val="008A3C0D"/>
    <w:rsid w:val="008B04ED"/>
    <w:rsid w:val="008B5394"/>
    <w:rsid w:val="008B6C13"/>
    <w:rsid w:val="008C6381"/>
    <w:rsid w:val="008F27C8"/>
    <w:rsid w:val="008F5B2D"/>
    <w:rsid w:val="00906F1F"/>
    <w:rsid w:val="00931A5C"/>
    <w:rsid w:val="00931E02"/>
    <w:rsid w:val="00954D56"/>
    <w:rsid w:val="00955888"/>
    <w:rsid w:val="00972548"/>
    <w:rsid w:val="00975C09"/>
    <w:rsid w:val="0099644D"/>
    <w:rsid w:val="009966A4"/>
    <w:rsid w:val="009A33A8"/>
    <w:rsid w:val="009A3BF0"/>
    <w:rsid w:val="009A4B59"/>
    <w:rsid w:val="009A75DC"/>
    <w:rsid w:val="009B06FF"/>
    <w:rsid w:val="009B0944"/>
    <w:rsid w:val="009B1987"/>
    <w:rsid w:val="009B5D91"/>
    <w:rsid w:val="009B5F78"/>
    <w:rsid w:val="009B702A"/>
    <w:rsid w:val="009C1FE5"/>
    <w:rsid w:val="009C4A1F"/>
    <w:rsid w:val="009C5A22"/>
    <w:rsid w:val="009D0C47"/>
    <w:rsid w:val="009D1F80"/>
    <w:rsid w:val="009E62B1"/>
    <w:rsid w:val="009F11C6"/>
    <w:rsid w:val="009F27EC"/>
    <w:rsid w:val="009F6370"/>
    <w:rsid w:val="00A00BD8"/>
    <w:rsid w:val="00A060A3"/>
    <w:rsid w:val="00A1743B"/>
    <w:rsid w:val="00A17D28"/>
    <w:rsid w:val="00A240C2"/>
    <w:rsid w:val="00A2486E"/>
    <w:rsid w:val="00A35BA6"/>
    <w:rsid w:val="00A45B93"/>
    <w:rsid w:val="00A748EF"/>
    <w:rsid w:val="00A81C01"/>
    <w:rsid w:val="00A878CD"/>
    <w:rsid w:val="00A906FB"/>
    <w:rsid w:val="00A90869"/>
    <w:rsid w:val="00A93A23"/>
    <w:rsid w:val="00A955A8"/>
    <w:rsid w:val="00AA31F7"/>
    <w:rsid w:val="00AB0871"/>
    <w:rsid w:val="00AB2329"/>
    <w:rsid w:val="00AB683C"/>
    <w:rsid w:val="00AB75A3"/>
    <w:rsid w:val="00AC1627"/>
    <w:rsid w:val="00AC1EB0"/>
    <w:rsid w:val="00AC305A"/>
    <w:rsid w:val="00AC4FCE"/>
    <w:rsid w:val="00AD263E"/>
    <w:rsid w:val="00AE120E"/>
    <w:rsid w:val="00AE5C7F"/>
    <w:rsid w:val="00AE6420"/>
    <w:rsid w:val="00AF4EF6"/>
    <w:rsid w:val="00AF5D4A"/>
    <w:rsid w:val="00AF6ACA"/>
    <w:rsid w:val="00B0112C"/>
    <w:rsid w:val="00B04551"/>
    <w:rsid w:val="00B06A34"/>
    <w:rsid w:val="00B071D7"/>
    <w:rsid w:val="00B11F8B"/>
    <w:rsid w:val="00B1707C"/>
    <w:rsid w:val="00B17288"/>
    <w:rsid w:val="00B21FB2"/>
    <w:rsid w:val="00B22D11"/>
    <w:rsid w:val="00B26C48"/>
    <w:rsid w:val="00B31BF8"/>
    <w:rsid w:val="00B54112"/>
    <w:rsid w:val="00B627C3"/>
    <w:rsid w:val="00B678BF"/>
    <w:rsid w:val="00B773A1"/>
    <w:rsid w:val="00B7770F"/>
    <w:rsid w:val="00B77A5F"/>
    <w:rsid w:val="00B83B78"/>
    <w:rsid w:val="00B86F86"/>
    <w:rsid w:val="00B872D3"/>
    <w:rsid w:val="00B97266"/>
    <w:rsid w:val="00BA320B"/>
    <w:rsid w:val="00BA7C28"/>
    <w:rsid w:val="00BB3192"/>
    <w:rsid w:val="00BB60A4"/>
    <w:rsid w:val="00BC2A69"/>
    <w:rsid w:val="00BC7577"/>
    <w:rsid w:val="00BC757A"/>
    <w:rsid w:val="00BD09E4"/>
    <w:rsid w:val="00BD1C19"/>
    <w:rsid w:val="00BD2B9C"/>
    <w:rsid w:val="00BD6C3F"/>
    <w:rsid w:val="00BE0F4E"/>
    <w:rsid w:val="00BE38EE"/>
    <w:rsid w:val="00BE3992"/>
    <w:rsid w:val="00BF4F41"/>
    <w:rsid w:val="00BF61E9"/>
    <w:rsid w:val="00C01A1A"/>
    <w:rsid w:val="00C04C6C"/>
    <w:rsid w:val="00C165FB"/>
    <w:rsid w:val="00C20610"/>
    <w:rsid w:val="00C21E44"/>
    <w:rsid w:val="00C247EE"/>
    <w:rsid w:val="00C25071"/>
    <w:rsid w:val="00C4122D"/>
    <w:rsid w:val="00C41E36"/>
    <w:rsid w:val="00C449DD"/>
    <w:rsid w:val="00C5718B"/>
    <w:rsid w:val="00C656B0"/>
    <w:rsid w:val="00C65FA7"/>
    <w:rsid w:val="00C66C4D"/>
    <w:rsid w:val="00C70B21"/>
    <w:rsid w:val="00C74F80"/>
    <w:rsid w:val="00CA5EB2"/>
    <w:rsid w:val="00CC01BF"/>
    <w:rsid w:val="00CC2470"/>
    <w:rsid w:val="00CC263A"/>
    <w:rsid w:val="00CC4DE9"/>
    <w:rsid w:val="00CD3777"/>
    <w:rsid w:val="00CE26EA"/>
    <w:rsid w:val="00CE419F"/>
    <w:rsid w:val="00CE74E3"/>
    <w:rsid w:val="00CF6937"/>
    <w:rsid w:val="00D014A6"/>
    <w:rsid w:val="00D02C67"/>
    <w:rsid w:val="00D11465"/>
    <w:rsid w:val="00D11E36"/>
    <w:rsid w:val="00D20A93"/>
    <w:rsid w:val="00D30507"/>
    <w:rsid w:val="00D34076"/>
    <w:rsid w:val="00D3735A"/>
    <w:rsid w:val="00D5181D"/>
    <w:rsid w:val="00D52EB5"/>
    <w:rsid w:val="00D6158B"/>
    <w:rsid w:val="00D709A9"/>
    <w:rsid w:val="00D70EC8"/>
    <w:rsid w:val="00D90AA9"/>
    <w:rsid w:val="00D9433F"/>
    <w:rsid w:val="00DA19D9"/>
    <w:rsid w:val="00DA3CD2"/>
    <w:rsid w:val="00DA7D67"/>
    <w:rsid w:val="00DB0EDF"/>
    <w:rsid w:val="00DB1883"/>
    <w:rsid w:val="00DB1972"/>
    <w:rsid w:val="00DB4E21"/>
    <w:rsid w:val="00DB5557"/>
    <w:rsid w:val="00DC468C"/>
    <w:rsid w:val="00DC7504"/>
    <w:rsid w:val="00DC7856"/>
    <w:rsid w:val="00DD3C7F"/>
    <w:rsid w:val="00DE03E6"/>
    <w:rsid w:val="00DE3AF1"/>
    <w:rsid w:val="00DE4008"/>
    <w:rsid w:val="00DE4455"/>
    <w:rsid w:val="00DF3254"/>
    <w:rsid w:val="00DF742F"/>
    <w:rsid w:val="00E016BE"/>
    <w:rsid w:val="00E0465B"/>
    <w:rsid w:val="00E06467"/>
    <w:rsid w:val="00E100DF"/>
    <w:rsid w:val="00E1640D"/>
    <w:rsid w:val="00E22A94"/>
    <w:rsid w:val="00E23006"/>
    <w:rsid w:val="00E23ACA"/>
    <w:rsid w:val="00E25413"/>
    <w:rsid w:val="00E37288"/>
    <w:rsid w:val="00E529F4"/>
    <w:rsid w:val="00E53726"/>
    <w:rsid w:val="00E54A70"/>
    <w:rsid w:val="00E576E8"/>
    <w:rsid w:val="00E65512"/>
    <w:rsid w:val="00E7009E"/>
    <w:rsid w:val="00E73C43"/>
    <w:rsid w:val="00E74BE7"/>
    <w:rsid w:val="00E94AFC"/>
    <w:rsid w:val="00E975E0"/>
    <w:rsid w:val="00EA1CCC"/>
    <w:rsid w:val="00EB0475"/>
    <w:rsid w:val="00EC0549"/>
    <w:rsid w:val="00EC2C45"/>
    <w:rsid w:val="00ED105E"/>
    <w:rsid w:val="00ED17BE"/>
    <w:rsid w:val="00ED76FC"/>
    <w:rsid w:val="00EE15DC"/>
    <w:rsid w:val="00EF0D59"/>
    <w:rsid w:val="00F034E8"/>
    <w:rsid w:val="00F13AD2"/>
    <w:rsid w:val="00F15729"/>
    <w:rsid w:val="00F33B8C"/>
    <w:rsid w:val="00F34A88"/>
    <w:rsid w:val="00F35AF1"/>
    <w:rsid w:val="00F36A07"/>
    <w:rsid w:val="00F42A42"/>
    <w:rsid w:val="00F52705"/>
    <w:rsid w:val="00F55F2C"/>
    <w:rsid w:val="00F60EE1"/>
    <w:rsid w:val="00F72F51"/>
    <w:rsid w:val="00F82AC7"/>
    <w:rsid w:val="00F92253"/>
    <w:rsid w:val="00F93DFB"/>
    <w:rsid w:val="00F959A7"/>
    <w:rsid w:val="00FA67DB"/>
    <w:rsid w:val="00FA7AE3"/>
    <w:rsid w:val="00FB0D65"/>
    <w:rsid w:val="00FB2948"/>
    <w:rsid w:val="00FC054B"/>
    <w:rsid w:val="00FC1885"/>
    <w:rsid w:val="00FC3D28"/>
    <w:rsid w:val="00FC3FDA"/>
    <w:rsid w:val="00FC4228"/>
    <w:rsid w:val="00FD3A37"/>
    <w:rsid w:val="00FE15AB"/>
    <w:rsid w:val="00FE37F9"/>
    <w:rsid w:val="00FE49FA"/>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8AA6C3B"/>
  <w15:docId w15:val="{A5085281-D7FF-4308-8B5A-5FACDCE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563562194">
          <w:marLeft w:val="0"/>
          <w:marRight w:val="0"/>
          <w:marTop w:val="150"/>
          <w:marBottom w:val="0"/>
          <w:divBdr>
            <w:top w:val="none" w:sz="0" w:space="0" w:color="auto"/>
            <w:left w:val="none" w:sz="0" w:space="0" w:color="auto"/>
            <w:bottom w:val="none" w:sz="0" w:space="0" w:color="auto"/>
            <w:right w:val="none" w:sz="0" w:space="0" w:color="auto"/>
          </w:divBdr>
        </w:div>
        <w:div w:id="1600989911">
          <w:marLeft w:val="0"/>
          <w:marRight w:val="0"/>
          <w:marTop w:val="0"/>
          <w:marBottom w:val="0"/>
          <w:divBdr>
            <w:top w:val="none" w:sz="0" w:space="0" w:color="auto"/>
            <w:left w:val="none" w:sz="0" w:space="0" w:color="auto"/>
            <w:bottom w:val="none" w:sz="0" w:space="0" w:color="auto"/>
            <w:right w:val="none" w:sz="0" w:space="0" w:color="auto"/>
          </w:divBdr>
        </w:div>
      </w:divsChild>
    </w:div>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op.bg/metodologiya/vyprosi-i-otgovo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EA78-9087-47F4-B2D1-58612BBC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1422</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Petya Shirokanska</cp:lastModifiedBy>
  <cp:revision>5</cp:revision>
  <cp:lastPrinted>2016-03-12T10:11:00Z</cp:lastPrinted>
  <dcterms:created xsi:type="dcterms:W3CDTF">2019-12-05T09:44:00Z</dcterms:created>
  <dcterms:modified xsi:type="dcterms:W3CDTF">2019-12-10T15:20:00Z</dcterms:modified>
</cp:coreProperties>
</file>